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87" w:rsidRPr="00094444" w:rsidRDefault="00296887" w:rsidP="00296887">
      <w:pPr>
        <w:spacing w:after="160" w:line="256" w:lineRule="auto"/>
        <w:jc w:val="right"/>
        <w:rPr>
          <w:rFonts w:ascii="Times New Roman" w:eastAsia="Calibri" w:hAnsi="Times New Roman" w:cs="Times New Roman"/>
          <w:lang w:val="cs-CZ"/>
        </w:rPr>
      </w:pPr>
      <w:r w:rsidRPr="00094444">
        <w:rPr>
          <w:rFonts w:ascii="Times New Roman" w:eastAsia="Calibri" w:hAnsi="Times New Roman" w:cs="Times New Roman"/>
          <w:lang w:val="cs-CZ"/>
        </w:rPr>
        <w:t>III.</w:t>
      </w:r>
    </w:p>
    <w:p w:rsidR="00296887" w:rsidRPr="00094444" w:rsidRDefault="00296887" w:rsidP="00296887">
      <w:pPr>
        <w:spacing w:after="160" w:line="256" w:lineRule="auto"/>
        <w:jc w:val="center"/>
        <w:rPr>
          <w:rFonts w:ascii="Times New Roman" w:eastAsia="Calibri" w:hAnsi="Times New Roman" w:cs="Times New Roman"/>
          <w:b/>
          <w:lang w:val="cs-CZ"/>
        </w:rPr>
      </w:pPr>
      <w:r w:rsidRPr="00094444">
        <w:rPr>
          <w:rFonts w:ascii="Times New Roman" w:eastAsia="Calibri" w:hAnsi="Times New Roman" w:cs="Times New Roman"/>
          <w:b/>
          <w:lang w:val="cs-CZ"/>
        </w:rPr>
        <w:t>DŮVODOVÁ ZPRÁVA</w:t>
      </w:r>
    </w:p>
    <w:sdt>
      <w:sdtPr>
        <w:rPr>
          <w:rFonts w:asciiTheme="minorHAnsi" w:eastAsiaTheme="minorHAnsi" w:hAnsiTheme="minorHAnsi" w:cstheme="minorBidi"/>
          <w:color w:val="auto"/>
          <w:sz w:val="24"/>
          <w:szCs w:val="24"/>
          <w:lang w:val="en-US"/>
        </w:rPr>
        <w:id w:val="1951739147"/>
        <w:docPartObj>
          <w:docPartGallery w:val="Table of Contents"/>
          <w:docPartUnique/>
        </w:docPartObj>
      </w:sdtPr>
      <w:sdtEndPr>
        <w:rPr>
          <w:b/>
          <w:bCs/>
        </w:rPr>
      </w:sdtEndPr>
      <w:sdtContent>
        <w:p w:rsidR="00296887" w:rsidRDefault="00296887">
          <w:pPr>
            <w:pStyle w:val="Nadpisobsahu"/>
          </w:pPr>
          <w:r>
            <w:t>Obsah</w:t>
          </w:r>
        </w:p>
        <w:p w:rsidR="001F469F" w:rsidRDefault="00296887">
          <w:pPr>
            <w:pStyle w:val="Obsah1"/>
            <w:tabs>
              <w:tab w:val="right" w:leader="dot" w:pos="9396"/>
            </w:tabs>
            <w:rPr>
              <w:rFonts w:eastAsiaTheme="minorEastAsia"/>
              <w:noProof/>
              <w:sz w:val="22"/>
              <w:szCs w:val="22"/>
              <w:lang w:val="cs-CZ" w:eastAsia="cs-CZ"/>
            </w:rPr>
          </w:pPr>
          <w:r>
            <w:fldChar w:fldCharType="begin"/>
          </w:r>
          <w:r>
            <w:instrText xml:space="preserve"> TOC \o "1-3" \h \z \u </w:instrText>
          </w:r>
          <w:r>
            <w:fldChar w:fldCharType="separate"/>
          </w:r>
          <w:hyperlink w:anchor="_Toc81488938" w:history="1">
            <w:r w:rsidR="001F469F" w:rsidRPr="00131B4A">
              <w:rPr>
                <w:rStyle w:val="Hypertextovodkaz"/>
                <w:noProof/>
              </w:rPr>
              <w:t>Shrnutí aktualizovaného harmonogramu digitalizace</w:t>
            </w:r>
            <w:r w:rsidR="001F469F">
              <w:rPr>
                <w:noProof/>
                <w:webHidden/>
              </w:rPr>
              <w:tab/>
            </w:r>
            <w:r w:rsidR="001F469F">
              <w:rPr>
                <w:noProof/>
                <w:webHidden/>
              </w:rPr>
              <w:fldChar w:fldCharType="begin"/>
            </w:r>
            <w:r w:rsidR="001F469F">
              <w:rPr>
                <w:noProof/>
                <w:webHidden/>
              </w:rPr>
              <w:instrText xml:space="preserve"> PAGEREF _Toc81488938 \h </w:instrText>
            </w:r>
            <w:r w:rsidR="001F469F">
              <w:rPr>
                <w:noProof/>
                <w:webHidden/>
              </w:rPr>
            </w:r>
            <w:r w:rsidR="001F469F">
              <w:rPr>
                <w:noProof/>
                <w:webHidden/>
              </w:rPr>
              <w:fldChar w:fldCharType="separate"/>
            </w:r>
            <w:r w:rsidR="001F469F">
              <w:rPr>
                <w:noProof/>
                <w:webHidden/>
              </w:rPr>
              <w:t>2</w:t>
            </w:r>
            <w:r w:rsidR="001F469F">
              <w:rPr>
                <w:noProof/>
                <w:webHidden/>
              </w:rPr>
              <w:fldChar w:fldCharType="end"/>
            </w:r>
          </w:hyperlink>
        </w:p>
        <w:p w:rsidR="001F469F" w:rsidRDefault="00702DAE">
          <w:pPr>
            <w:pStyle w:val="Obsah1"/>
            <w:tabs>
              <w:tab w:val="right" w:leader="dot" w:pos="9396"/>
            </w:tabs>
            <w:rPr>
              <w:rFonts w:eastAsiaTheme="minorEastAsia"/>
              <w:noProof/>
              <w:sz w:val="22"/>
              <w:szCs w:val="22"/>
              <w:lang w:val="cs-CZ" w:eastAsia="cs-CZ"/>
            </w:rPr>
          </w:pPr>
          <w:hyperlink w:anchor="_Toc81488939" w:history="1">
            <w:r w:rsidR="001F469F" w:rsidRPr="00131B4A">
              <w:rPr>
                <w:rStyle w:val="Hypertextovodkaz"/>
                <w:noProof/>
              </w:rPr>
              <w:t>Analýza dat v katalogu služeb veřejné správy</w:t>
            </w:r>
            <w:r w:rsidR="001F469F">
              <w:rPr>
                <w:noProof/>
                <w:webHidden/>
              </w:rPr>
              <w:tab/>
            </w:r>
            <w:r w:rsidR="001F469F">
              <w:rPr>
                <w:noProof/>
                <w:webHidden/>
              </w:rPr>
              <w:fldChar w:fldCharType="begin"/>
            </w:r>
            <w:r w:rsidR="001F469F">
              <w:rPr>
                <w:noProof/>
                <w:webHidden/>
              </w:rPr>
              <w:instrText xml:space="preserve"> PAGEREF _Toc81488939 \h </w:instrText>
            </w:r>
            <w:r w:rsidR="001F469F">
              <w:rPr>
                <w:noProof/>
                <w:webHidden/>
              </w:rPr>
            </w:r>
            <w:r w:rsidR="001F469F">
              <w:rPr>
                <w:noProof/>
                <w:webHidden/>
              </w:rPr>
              <w:fldChar w:fldCharType="separate"/>
            </w:r>
            <w:r w:rsidR="001F469F">
              <w:rPr>
                <w:noProof/>
                <w:webHidden/>
              </w:rPr>
              <w:t>5</w:t>
            </w:r>
            <w:r w:rsidR="001F469F">
              <w:rPr>
                <w:noProof/>
                <w:webHidden/>
              </w:rPr>
              <w:fldChar w:fldCharType="end"/>
            </w:r>
          </w:hyperlink>
        </w:p>
        <w:p w:rsidR="001F469F" w:rsidRDefault="00702DAE">
          <w:pPr>
            <w:pStyle w:val="Obsah2"/>
            <w:tabs>
              <w:tab w:val="right" w:leader="dot" w:pos="9396"/>
            </w:tabs>
            <w:rPr>
              <w:rFonts w:eastAsiaTheme="minorEastAsia"/>
              <w:noProof/>
              <w:sz w:val="22"/>
              <w:szCs w:val="22"/>
              <w:lang w:val="cs-CZ" w:eastAsia="cs-CZ"/>
            </w:rPr>
          </w:pPr>
          <w:hyperlink w:anchor="_Toc81488940" w:history="1">
            <w:r w:rsidR="001F469F" w:rsidRPr="00131B4A">
              <w:rPr>
                <w:rStyle w:val="Hypertextovodkaz"/>
                <w:noProof/>
              </w:rPr>
              <w:t>Manažerské shrnutí</w:t>
            </w:r>
            <w:r w:rsidR="001F469F">
              <w:rPr>
                <w:noProof/>
                <w:webHidden/>
              </w:rPr>
              <w:tab/>
            </w:r>
            <w:r w:rsidR="001F469F">
              <w:rPr>
                <w:noProof/>
                <w:webHidden/>
              </w:rPr>
              <w:fldChar w:fldCharType="begin"/>
            </w:r>
            <w:r w:rsidR="001F469F">
              <w:rPr>
                <w:noProof/>
                <w:webHidden/>
              </w:rPr>
              <w:instrText xml:space="preserve"> PAGEREF _Toc81488940 \h </w:instrText>
            </w:r>
            <w:r w:rsidR="001F469F">
              <w:rPr>
                <w:noProof/>
                <w:webHidden/>
              </w:rPr>
            </w:r>
            <w:r w:rsidR="001F469F">
              <w:rPr>
                <w:noProof/>
                <w:webHidden/>
              </w:rPr>
              <w:fldChar w:fldCharType="separate"/>
            </w:r>
            <w:r w:rsidR="001F469F">
              <w:rPr>
                <w:noProof/>
                <w:webHidden/>
              </w:rPr>
              <w:t>5</w:t>
            </w:r>
            <w:r w:rsidR="001F469F">
              <w:rPr>
                <w:noProof/>
                <w:webHidden/>
              </w:rPr>
              <w:fldChar w:fldCharType="end"/>
            </w:r>
          </w:hyperlink>
        </w:p>
        <w:p w:rsidR="001F469F" w:rsidRDefault="00702DAE">
          <w:pPr>
            <w:pStyle w:val="Obsah2"/>
            <w:tabs>
              <w:tab w:val="right" w:leader="dot" w:pos="9396"/>
            </w:tabs>
            <w:rPr>
              <w:rFonts w:eastAsiaTheme="minorEastAsia"/>
              <w:noProof/>
              <w:sz w:val="22"/>
              <w:szCs w:val="22"/>
              <w:lang w:val="cs-CZ" w:eastAsia="cs-CZ"/>
            </w:rPr>
          </w:pPr>
          <w:hyperlink w:anchor="_Toc81488941" w:history="1">
            <w:r w:rsidR="001F469F" w:rsidRPr="00131B4A">
              <w:rPr>
                <w:rStyle w:val="Hypertextovodkaz"/>
                <w:noProof/>
              </w:rPr>
              <w:t>Informace o agendách a jejich zpracování pro katalog služeb veřejné správy</w:t>
            </w:r>
            <w:r w:rsidR="001F469F">
              <w:rPr>
                <w:noProof/>
                <w:webHidden/>
              </w:rPr>
              <w:tab/>
            </w:r>
            <w:r w:rsidR="001F469F">
              <w:rPr>
                <w:noProof/>
                <w:webHidden/>
              </w:rPr>
              <w:fldChar w:fldCharType="begin"/>
            </w:r>
            <w:r w:rsidR="001F469F">
              <w:rPr>
                <w:noProof/>
                <w:webHidden/>
              </w:rPr>
              <w:instrText xml:space="preserve"> PAGEREF _Toc81488941 \h </w:instrText>
            </w:r>
            <w:r w:rsidR="001F469F">
              <w:rPr>
                <w:noProof/>
                <w:webHidden/>
              </w:rPr>
            </w:r>
            <w:r w:rsidR="001F469F">
              <w:rPr>
                <w:noProof/>
                <w:webHidden/>
              </w:rPr>
              <w:fldChar w:fldCharType="separate"/>
            </w:r>
            <w:r w:rsidR="001F469F">
              <w:rPr>
                <w:noProof/>
                <w:webHidden/>
              </w:rPr>
              <w:t>6</w:t>
            </w:r>
            <w:r w:rsidR="001F469F">
              <w:rPr>
                <w:noProof/>
                <w:webHidden/>
              </w:rPr>
              <w:fldChar w:fldCharType="end"/>
            </w:r>
          </w:hyperlink>
        </w:p>
        <w:p w:rsidR="001F469F" w:rsidRDefault="00702DAE">
          <w:pPr>
            <w:pStyle w:val="Obsah2"/>
            <w:tabs>
              <w:tab w:val="right" w:leader="dot" w:pos="9396"/>
            </w:tabs>
            <w:rPr>
              <w:rFonts w:eastAsiaTheme="minorEastAsia"/>
              <w:noProof/>
              <w:sz w:val="22"/>
              <w:szCs w:val="22"/>
              <w:lang w:val="cs-CZ" w:eastAsia="cs-CZ"/>
            </w:rPr>
          </w:pPr>
          <w:hyperlink w:anchor="_Toc81488942" w:history="1">
            <w:r w:rsidR="001F469F" w:rsidRPr="00131B4A">
              <w:rPr>
                <w:rStyle w:val="Hypertextovodkaz"/>
                <w:noProof/>
              </w:rPr>
              <w:t>Struktura katalogu služeb</w:t>
            </w:r>
            <w:r w:rsidR="001F469F">
              <w:rPr>
                <w:noProof/>
                <w:webHidden/>
              </w:rPr>
              <w:tab/>
            </w:r>
            <w:r w:rsidR="001F469F">
              <w:rPr>
                <w:noProof/>
                <w:webHidden/>
              </w:rPr>
              <w:fldChar w:fldCharType="begin"/>
            </w:r>
            <w:r w:rsidR="001F469F">
              <w:rPr>
                <w:noProof/>
                <w:webHidden/>
              </w:rPr>
              <w:instrText xml:space="preserve"> PAGEREF _Toc81488942 \h </w:instrText>
            </w:r>
            <w:r w:rsidR="001F469F">
              <w:rPr>
                <w:noProof/>
                <w:webHidden/>
              </w:rPr>
            </w:r>
            <w:r w:rsidR="001F469F">
              <w:rPr>
                <w:noProof/>
                <w:webHidden/>
              </w:rPr>
              <w:fldChar w:fldCharType="separate"/>
            </w:r>
            <w:r w:rsidR="001F469F">
              <w:rPr>
                <w:noProof/>
                <w:webHidden/>
              </w:rPr>
              <w:t>9</w:t>
            </w:r>
            <w:r w:rsidR="001F469F">
              <w:rPr>
                <w:noProof/>
                <w:webHidden/>
              </w:rPr>
              <w:fldChar w:fldCharType="end"/>
            </w:r>
          </w:hyperlink>
        </w:p>
        <w:p w:rsidR="001F469F" w:rsidRDefault="00702DAE">
          <w:pPr>
            <w:pStyle w:val="Obsah2"/>
            <w:tabs>
              <w:tab w:val="right" w:leader="dot" w:pos="9396"/>
            </w:tabs>
            <w:rPr>
              <w:rFonts w:eastAsiaTheme="minorEastAsia"/>
              <w:noProof/>
              <w:sz w:val="22"/>
              <w:szCs w:val="22"/>
              <w:lang w:val="cs-CZ" w:eastAsia="cs-CZ"/>
            </w:rPr>
          </w:pPr>
          <w:hyperlink w:anchor="_Toc81488943" w:history="1">
            <w:r w:rsidR="001F469F" w:rsidRPr="00131B4A">
              <w:rPr>
                <w:rStyle w:val="Hypertextovodkaz"/>
                <w:noProof/>
              </w:rPr>
              <w:t>Stávající stav digitalizace</w:t>
            </w:r>
            <w:r w:rsidR="001F469F">
              <w:rPr>
                <w:noProof/>
                <w:webHidden/>
              </w:rPr>
              <w:tab/>
            </w:r>
            <w:r w:rsidR="001F469F">
              <w:rPr>
                <w:noProof/>
                <w:webHidden/>
              </w:rPr>
              <w:fldChar w:fldCharType="begin"/>
            </w:r>
            <w:r w:rsidR="001F469F">
              <w:rPr>
                <w:noProof/>
                <w:webHidden/>
              </w:rPr>
              <w:instrText xml:space="preserve"> PAGEREF _Toc81488943 \h </w:instrText>
            </w:r>
            <w:r w:rsidR="001F469F">
              <w:rPr>
                <w:noProof/>
                <w:webHidden/>
              </w:rPr>
            </w:r>
            <w:r w:rsidR="001F469F">
              <w:rPr>
                <w:noProof/>
                <w:webHidden/>
              </w:rPr>
              <w:fldChar w:fldCharType="separate"/>
            </w:r>
            <w:r w:rsidR="001F469F">
              <w:rPr>
                <w:noProof/>
                <w:webHidden/>
              </w:rPr>
              <w:t>10</w:t>
            </w:r>
            <w:r w:rsidR="001F469F">
              <w:rPr>
                <w:noProof/>
                <w:webHidden/>
              </w:rPr>
              <w:fldChar w:fldCharType="end"/>
            </w:r>
          </w:hyperlink>
        </w:p>
        <w:p w:rsidR="001F469F" w:rsidRDefault="00702DAE">
          <w:pPr>
            <w:pStyle w:val="Obsah2"/>
            <w:tabs>
              <w:tab w:val="right" w:leader="dot" w:pos="9396"/>
            </w:tabs>
            <w:rPr>
              <w:rFonts w:eastAsiaTheme="minorEastAsia"/>
              <w:noProof/>
              <w:sz w:val="22"/>
              <w:szCs w:val="22"/>
              <w:lang w:val="cs-CZ" w:eastAsia="cs-CZ"/>
            </w:rPr>
          </w:pPr>
          <w:hyperlink w:anchor="_Toc81488944" w:history="1">
            <w:r w:rsidR="001F469F" w:rsidRPr="00131B4A">
              <w:rPr>
                <w:rStyle w:val="Hypertextovodkaz"/>
                <w:noProof/>
              </w:rPr>
              <w:t>Aktualizovaný harmonogram digitalizace</w:t>
            </w:r>
            <w:r w:rsidR="001F469F">
              <w:rPr>
                <w:noProof/>
                <w:webHidden/>
              </w:rPr>
              <w:tab/>
            </w:r>
            <w:r w:rsidR="001F469F">
              <w:rPr>
                <w:noProof/>
                <w:webHidden/>
              </w:rPr>
              <w:fldChar w:fldCharType="begin"/>
            </w:r>
            <w:r w:rsidR="001F469F">
              <w:rPr>
                <w:noProof/>
                <w:webHidden/>
              </w:rPr>
              <w:instrText xml:space="preserve"> PAGEREF _Toc81488944 \h </w:instrText>
            </w:r>
            <w:r w:rsidR="001F469F">
              <w:rPr>
                <w:noProof/>
                <w:webHidden/>
              </w:rPr>
            </w:r>
            <w:r w:rsidR="001F469F">
              <w:rPr>
                <w:noProof/>
                <w:webHidden/>
              </w:rPr>
              <w:fldChar w:fldCharType="separate"/>
            </w:r>
            <w:r w:rsidR="001F469F">
              <w:rPr>
                <w:noProof/>
                <w:webHidden/>
              </w:rPr>
              <w:t>13</w:t>
            </w:r>
            <w:r w:rsidR="001F469F">
              <w:rPr>
                <w:noProof/>
                <w:webHidden/>
              </w:rPr>
              <w:fldChar w:fldCharType="end"/>
            </w:r>
          </w:hyperlink>
        </w:p>
        <w:p w:rsidR="001F469F" w:rsidRDefault="00702DAE">
          <w:pPr>
            <w:pStyle w:val="Obsah2"/>
            <w:tabs>
              <w:tab w:val="right" w:leader="dot" w:pos="9396"/>
            </w:tabs>
            <w:rPr>
              <w:rFonts w:eastAsiaTheme="minorEastAsia"/>
              <w:noProof/>
              <w:sz w:val="22"/>
              <w:szCs w:val="22"/>
              <w:lang w:val="cs-CZ" w:eastAsia="cs-CZ"/>
            </w:rPr>
          </w:pPr>
          <w:hyperlink w:anchor="_Toc81488945" w:history="1">
            <w:r w:rsidR="001F469F" w:rsidRPr="00131B4A">
              <w:rPr>
                <w:rStyle w:val="Hypertextovodkaz"/>
                <w:noProof/>
              </w:rPr>
              <w:t>Úkony nevhodné k digitalizaci</w:t>
            </w:r>
            <w:r w:rsidR="001F469F">
              <w:rPr>
                <w:noProof/>
                <w:webHidden/>
              </w:rPr>
              <w:tab/>
            </w:r>
            <w:r w:rsidR="001F469F">
              <w:rPr>
                <w:noProof/>
                <w:webHidden/>
              </w:rPr>
              <w:fldChar w:fldCharType="begin"/>
            </w:r>
            <w:r w:rsidR="001F469F">
              <w:rPr>
                <w:noProof/>
                <w:webHidden/>
              </w:rPr>
              <w:instrText xml:space="preserve"> PAGEREF _Toc81488945 \h </w:instrText>
            </w:r>
            <w:r w:rsidR="001F469F">
              <w:rPr>
                <w:noProof/>
                <w:webHidden/>
              </w:rPr>
            </w:r>
            <w:r w:rsidR="001F469F">
              <w:rPr>
                <w:noProof/>
                <w:webHidden/>
              </w:rPr>
              <w:fldChar w:fldCharType="separate"/>
            </w:r>
            <w:r w:rsidR="001F469F">
              <w:rPr>
                <w:noProof/>
                <w:webHidden/>
              </w:rPr>
              <w:t>18</w:t>
            </w:r>
            <w:r w:rsidR="001F469F">
              <w:rPr>
                <w:noProof/>
                <w:webHidden/>
              </w:rPr>
              <w:fldChar w:fldCharType="end"/>
            </w:r>
          </w:hyperlink>
        </w:p>
        <w:p w:rsidR="001F469F" w:rsidRDefault="00702DAE">
          <w:pPr>
            <w:pStyle w:val="Obsah1"/>
            <w:tabs>
              <w:tab w:val="right" w:leader="dot" w:pos="9396"/>
            </w:tabs>
            <w:rPr>
              <w:rFonts w:eastAsiaTheme="minorEastAsia"/>
              <w:noProof/>
              <w:sz w:val="22"/>
              <w:szCs w:val="22"/>
              <w:lang w:val="cs-CZ" w:eastAsia="cs-CZ"/>
            </w:rPr>
          </w:pPr>
          <w:hyperlink w:anchor="_Toc81488946" w:history="1">
            <w:r w:rsidR="001F469F" w:rsidRPr="00131B4A">
              <w:rPr>
                <w:rStyle w:val="Hypertextovodkaz"/>
                <w:noProof/>
              </w:rPr>
              <w:t>Další postup</w:t>
            </w:r>
            <w:r w:rsidR="001F469F">
              <w:rPr>
                <w:noProof/>
                <w:webHidden/>
              </w:rPr>
              <w:tab/>
            </w:r>
            <w:r w:rsidR="001F469F">
              <w:rPr>
                <w:noProof/>
                <w:webHidden/>
              </w:rPr>
              <w:fldChar w:fldCharType="begin"/>
            </w:r>
            <w:r w:rsidR="001F469F">
              <w:rPr>
                <w:noProof/>
                <w:webHidden/>
              </w:rPr>
              <w:instrText xml:space="preserve"> PAGEREF _Toc81488946 \h </w:instrText>
            </w:r>
            <w:r w:rsidR="001F469F">
              <w:rPr>
                <w:noProof/>
                <w:webHidden/>
              </w:rPr>
            </w:r>
            <w:r w:rsidR="001F469F">
              <w:rPr>
                <w:noProof/>
                <w:webHidden/>
              </w:rPr>
              <w:fldChar w:fldCharType="separate"/>
            </w:r>
            <w:r w:rsidR="001F469F">
              <w:rPr>
                <w:noProof/>
                <w:webHidden/>
              </w:rPr>
              <w:t>19</w:t>
            </w:r>
            <w:r w:rsidR="001F469F">
              <w:rPr>
                <w:noProof/>
                <w:webHidden/>
              </w:rPr>
              <w:fldChar w:fldCharType="end"/>
            </w:r>
          </w:hyperlink>
        </w:p>
        <w:p w:rsidR="00296887" w:rsidRDefault="00296887">
          <w:r>
            <w:rPr>
              <w:b/>
              <w:bCs/>
            </w:rPr>
            <w:fldChar w:fldCharType="end"/>
          </w:r>
        </w:p>
      </w:sdtContent>
    </w:sdt>
    <w:p w:rsidR="00296887" w:rsidRDefault="00296887">
      <w:pPr>
        <w:jc w:val="left"/>
        <w:rPr>
          <w:lang w:val="cs-CZ"/>
        </w:rPr>
      </w:pPr>
      <w:r>
        <w:br w:type="page"/>
      </w:r>
    </w:p>
    <w:p w:rsidR="00E85B91" w:rsidRDefault="0007561D">
      <w:pPr>
        <w:pStyle w:val="FirstParagraph"/>
      </w:pPr>
      <w:r>
        <w:lastRenderedPageBreak/>
        <w:t xml:space="preserve">Základní informace ke katalogu služeb veřejné správy (dále také „VS“) jsou dostupné na: </w:t>
      </w:r>
      <w:hyperlink r:id="rId8">
        <w:r w:rsidRPr="00DB537A">
          <w:rPr>
            <w:rStyle w:val="Hypertextovodkaz"/>
            <w:i w:val="0"/>
            <w:sz w:val="24"/>
          </w:rPr>
          <w:t>https://pma3.gov.cz/katalog-sluzeb/info</w:t>
        </w:r>
      </w:hyperlink>
      <w:r>
        <w:t>.</w:t>
      </w:r>
      <w:r>
        <w:rPr>
          <w:rStyle w:val="Znakapoznpodarou"/>
        </w:rPr>
        <w:footnoteReference w:id="1"/>
      </w:r>
    </w:p>
    <w:p w:rsidR="00E85B91" w:rsidRDefault="0007561D">
      <w:pPr>
        <w:pStyle w:val="Nadpis1"/>
      </w:pPr>
      <w:bookmarkStart w:id="0" w:name="_Toc81488938"/>
      <w:bookmarkStart w:id="1" w:name="Xc7a69ccd0b5bb5aa00a7520107311cb20255b3a"/>
      <w:r>
        <w:t>Shrnutí aktualizovaného harmonogramu digitalizace</w:t>
      </w:r>
      <w:bookmarkEnd w:id="0"/>
    </w:p>
    <w:p w:rsidR="00E85B91" w:rsidRDefault="0007561D">
      <w:pPr>
        <w:pStyle w:val="FirstParagraph"/>
      </w:pPr>
      <w:r>
        <w:t>Tabulka obsahuje počet úkonů v evidovaných službách za všechny agendy daného ohlašovatele a procentuální podíl, kolik úkonů lze realizovat daným digitálním obslužným kanálem (sloupec aktuálně). V části plánovaný nárůst digitalizace tabulka zachycuje, jak se podíl dle harmonogramu bude v každém z uvedených roků měnit (sloupce 2021 až 2025). Poslední sloupec ukazuje, jaký bude výsledný podíl úkonů dostupných v daném digitálním obslužném kanálu.</w:t>
      </w:r>
    </w:p>
    <w:p w:rsidR="00E85B91" w:rsidRDefault="0007561D">
      <w:pPr>
        <w:pStyle w:val="Zkladntext"/>
      </w:pPr>
      <w:r>
        <w:t>Například u Českého telekomunikačního úřadu je vidět, že pro digitální korespondenční kanály žádnou změnu neplánuje (datová schránka i uznávaný elektronický podpis mají v jednotlivých letech 0% nárůst), ale portál je v harmonogramu plánován na roky 2024 a 2025.</w:t>
      </w:r>
    </w:p>
    <w:p w:rsidR="0007561D" w:rsidRDefault="0007561D" w:rsidP="0007561D">
      <w:pPr>
        <w:pStyle w:val="Titulek"/>
        <w:keepNext/>
      </w:pPr>
      <w:r>
        <w:t xml:space="preserve">Tabulka </w:t>
      </w:r>
      <w:r>
        <w:fldChar w:fldCharType="begin"/>
      </w:r>
      <w:r>
        <w:instrText xml:space="preserve"> SEQ Tabulka \* ARABIC </w:instrText>
      </w:r>
      <w:r>
        <w:fldChar w:fldCharType="separate"/>
      </w:r>
      <w:r w:rsidR="00DD70D5">
        <w:rPr>
          <w:noProof/>
        </w:rPr>
        <w:t>1</w:t>
      </w:r>
      <w:r>
        <w:fldChar w:fldCharType="end"/>
      </w:r>
      <w:r>
        <w:t>: Přehled současného stavu digitalizace a nárůstu po zohlednění aktualizovaného harmonogramu</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2"/>
        <w:gridCol w:w="941"/>
        <w:gridCol w:w="930"/>
        <w:gridCol w:w="930"/>
        <w:gridCol w:w="930"/>
        <w:gridCol w:w="930"/>
        <w:gridCol w:w="930"/>
        <w:gridCol w:w="1568"/>
      </w:tblGrid>
      <w:tr w:rsidR="0007561D" w:rsidRPr="0007561D" w:rsidTr="0007561D">
        <w:trPr>
          <w:trHeight w:val="321"/>
          <w:tblHeader/>
        </w:trPr>
        <w:tc>
          <w:tcPr>
            <w:tcW w:w="1772" w:type="dxa"/>
            <w:vMerge w:val="restart"/>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sz w:val="22"/>
                <w:szCs w:val="22"/>
                <w:lang w:val="cs-CZ" w:eastAsia="cs-CZ"/>
              </w:rPr>
            </w:pPr>
          </w:p>
        </w:tc>
        <w:tc>
          <w:tcPr>
            <w:tcW w:w="941" w:type="dxa"/>
            <w:vMerge w:val="restart"/>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aktuálně</w:t>
            </w:r>
          </w:p>
        </w:tc>
        <w:tc>
          <w:tcPr>
            <w:tcW w:w="6218" w:type="dxa"/>
            <w:gridSpan w:val="6"/>
            <w:shd w:val="clear" w:color="auto" w:fill="auto"/>
            <w:vAlign w:val="center"/>
            <w:hideMark/>
          </w:tcPr>
          <w:p w:rsidR="0007561D" w:rsidRPr="0007561D" w:rsidRDefault="0007561D" w:rsidP="0007561D">
            <w:pPr>
              <w:spacing w:after="0"/>
              <w:jc w:val="center"/>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plánovaný nárůst digitalizace</w:t>
            </w:r>
          </w:p>
        </w:tc>
      </w:tr>
      <w:tr w:rsidR="0007561D" w:rsidRPr="0007561D" w:rsidTr="0007561D">
        <w:trPr>
          <w:trHeight w:val="321"/>
          <w:tblHeader/>
        </w:trPr>
        <w:tc>
          <w:tcPr>
            <w:tcW w:w="1772" w:type="dxa"/>
            <w:vMerge/>
            <w:vAlign w:val="center"/>
            <w:hideMark/>
          </w:tcPr>
          <w:p w:rsidR="0007561D" w:rsidRPr="0007561D" w:rsidRDefault="0007561D" w:rsidP="0007561D">
            <w:pPr>
              <w:spacing w:after="0"/>
              <w:jc w:val="left"/>
              <w:rPr>
                <w:rFonts w:asciiTheme="majorHAnsi" w:eastAsia="Times New Roman" w:hAnsiTheme="majorHAnsi" w:cstheme="majorHAnsi"/>
                <w:sz w:val="22"/>
                <w:szCs w:val="22"/>
                <w:lang w:val="cs-CZ" w:eastAsia="cs-CZ"/>
              </w:rPr>
            </w:pPr>
          </w:p>
        </w:tc>
        <w:tc>
          <w:tcPr>
            <w:tcW w:w="941" w:type="dxa"/>
            <w:vMerge/>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p>
        </w:tc>
        <w:tc>
          <w:tcPr>
            <w:tcW w:w="930"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2021</w:t>
            </w:r>
          </w:p>
        </w:tc>
        <w:tc>
          <w:tcPr>
            <w:tcW w:w="930"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2022</w:t>
            </w:r>
          </w:p>
        </w:tc>
        <w:tc>
          <w:tcPr>
            <w:tcW w:w="930"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2023</w:t>
            </w:r>
          </w:p>
        </w:tc>
        <w:tc>
          <w:tcPr>
            <w:tcW w:w="930"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2024</w:t>
            </w:r>
          </w:p>
        </w:tc>
        <w:tc>
          <w:tcPr>
            <w:tcW w:w="930"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2025</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výsledek plánu</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Český báňský úřad – úkonů: 1257</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90.9 %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91.0 %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91.0 %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91.0 %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29.9 %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EF1C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7.6 %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37.5 %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Český statistický úřad – úkonů: 64</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79.7 %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8F6DA"/>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1.6 %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81.2 %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45.3 %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0F2C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6.2 %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51.6 %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6FBD2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71.9 %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71.9 %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Český telekomunikační úřad – úkonů: 612</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85.1 %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85.1 %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61.9 %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61.9 %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2F3D2"/>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5.1 %</w:t>
            </w:r>
          </w:p>
        </w:tc>
        <w:tc>
          <w:tcPr>
            <w:tcW w:w="930" w:type="dxa"/>
            <w:shd w:val="clear" w:color="000000" w:fill="CFEAB6"/>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16.8 %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22.1 %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Český úřad zeměměřický a katastrální – úkonů: 308</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85.1 %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4F4D5"/>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88.6 %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84.1 %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5F4D6"/>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87.3 %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2.3 %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BBE099"/>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29.2 %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31.5 %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dopravy – úkonů: 675</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67.9 %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A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0.3 %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68.4 %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36.7 %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0.6 %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37.5 %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lastRenderedPageBreak/>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D5ECB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13.5 %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13.8 %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financí – úkonů: 295</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69.8 %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2F3D1"/>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5.4 %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75.3 %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47.1 %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EF1CB"/>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54.9 %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EF1C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7.5 %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16.6 %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kultury – úkonů: 564</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95.4 %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95.6 %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38.3 %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6F5D7"/>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41.1 %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BCE099"/>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29.1 %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30.1 %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obrany – úkonů: 314</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83.8 %</w:t>
            </w:r>
          </w:p>
        </w:tc>
        <w:tc>
          <w:tcPr>
            <w:tcW w:w="930" w:type="dxa"/>
            <w:shd w:val="clear" w:color="000000" w:fill="E9F7D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84.4 %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40.8 %</w:t>
            </w:r>
          </w:p>
        </w:tc>
        <w:tc>
          <w:tcPr>
            <w:tcW w:w="930" w:type="dxa"/>
            <w:shd w:val="clear" w:color="000000" w:fill="DFF1C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7.3 %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1F2D0"/>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53.8 %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0.6 %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práce a sociálních věcí – úkonů: 1756</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83.7 %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7F6DA"/>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85.3 %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55.6 %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7F6DA"/>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57.3 %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7F6DA"/>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BEFC6"/>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9.9 %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14.7 %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pro místní rozvoj – úkonů: 628</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81.4 %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81.5 %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70.9 %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8F6DB"/>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1.4 %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72.5 %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5.3 %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8F6DB"/>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1.4 %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BEFC7"/>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9.6 %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16.2 %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průmyslu a obchodu – úkonů: 869</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84.2 %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8F6D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1F3D1"/>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5.6 %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90.9 %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44.3 %</w:t>
            </w:r>
          </w:p>
        </w:tc>
        <w:tc>
          <w:tcPr>
            <w:tcW w:w="930" w:type="dxa"/>
            <w:shd w:val="clear" w:color="000000" w:fill="E7F5D9"/>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8F6DA"/>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1.6 %</w:t>
            </w:r>
          </w:p>
        </w:tc>
        <w:tc>
          <w:tcPr>
            <w:tcW w:w="930" w:type="dxa"/>
            <w:shd w:val="clear" w:color="000000" w:fill="E4F4D4"/>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4.1 %</w:t>
            </w:r>
          </w:p>
        </w:tc>
        <w:tc>
          <w:tcPr>
            <w:tcW w:w="930" w:type="dxa"/>
            <w:shd w:val="clear" w:color="000000" w:fill="BFE29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26.8 %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78.9 %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2.3 %</w:t>
            </w:r>
          </w:p>
        </w:tc>
        <w:tc>
          <w:tcPr>
            <w:tcW w:w="930" w:type="dxa"/>
            <w:shd w:val="clear" w:color="000000" w:fill="EA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2F3D1"/>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5.3 %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5EDB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13.1 %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20.9 %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spravedlnosti – úkonů: 871</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78.8 %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78.8 %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64.3 %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64.5 %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0.3 %</w:t>
            </w:r>
          </w:p>
        </w:tc>
        <w:tc>
          <w:tcPr>
            <w:tcW w:w="930" w:type="dxa"/>
            <w:shd w:val="clear" w:color="000000" w:fill="EA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930" w:type="dxa"/>
            <w:shd w:val="clear" w:color="000000" w:fill="BFE29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26.8 %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35.4 %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školství, mládeže a tělovýchovy – úkonů: 754</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89.4 %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9F6D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90.3 %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58.1 %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1F2D0"/>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64.1 %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5.8 %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vnitra – úkonů: 1763</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64.3 %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0F2C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6.5 %</w:t>
            </w:r>
          </w:p>
        </w:tc>
        <w:tc>
          <w:tcPr>
            <w:tcW w:w="930" w:type="dxa"/>
            <w:shd w:val="clear" w:color="000000" w:fill="E9F6D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0.7 %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0.5 %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72.0 %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32.7 %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0F2C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6.4 %</w:t>
            </w:r>
          </w:p>
        </w:tc>
        <w:tc>
          <w:tcPr>
            <w:tcW w:w="930" w:type="dxa"/>
            <w:shd w:val="clear" w:color="000000" w:fill="E4F4D5"/>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3.7 %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8F6DB"/>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1.4 %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44.4 %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5F5D7"/>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3.0 %</w:t>
            </w:r>
          </w:p>
        </w:tc>
        <w:tc>
          <w:tcPr>
            <w:tcW w:w="930" w:type="dxa"/>
            <w:shd w:val="clear" w:color="000000" w:fill="EA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0.3 %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930" w:type="dxa"/>
            <w:shd w:val="clear" w:color="000000" w:fill="DCF0C9"/>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8.9 %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15.0 %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lastRenderedPageBreak/>
              <w:t>Ministerstvo zahraničních věcí – úkonů: 111</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47.7 %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9F6D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48.6 %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9F6D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A7D67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41.4 %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43.2 %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18.0 %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5ECB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13.5 %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31.5 %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zdravotnictví – úkonů: 2059</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79.7 %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80.3 %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58.1 %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8F6DA"/>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59.8 %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6.9 %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CF0C9"/>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8.6 %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15.5 %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zemědělství – úkonů: 1665</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82.6 %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0.4 %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0.5 %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83.5 %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42.4 %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3F3D3"/>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4.6 %</w:t>
            </w:r>
          </w:p>
        </w:tc>
        <w:tc>
          <w:tcPr>
            <w:tcW w:w="930" w:type="dxa"/>
            <w:shd w:val="clear" w:color="000000" w:fill="E8F6DB"/>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1.2 %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48.3 %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3.2 %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0.5 %</w:t>
            </w:r>
          </w:p>
        </w:tc>
        <w:tc>
          <w:tcPr>
            <w:tcW w:w="930" w:type="dxa"/>
            <w:shd w:val="clear" w:color="000000" w:fill="E8F6DB"/>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1.4 %</w:t>
            </w:r>
          </w:p>
        </w:tc>
        <w:tc>
          <w:tcPr>
            <w:tcW w:w="930" w:type="dxa"/>
            <w:shd w:val="clear" w:color="000000" w:fill="E6F5D8"/>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2.5 %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D9EEC4"/>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11.1 %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18.7 %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Ministerstvo životního prostředí – úkonů: 1502</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83.5 %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0.6 %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9F6DC"/>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0.2 %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85.0 %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54.6 %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0.4 %</w:t>
            </w:r>
          </w:p>
        </w:tc>
        <w:tc>
          <w:tcPr>
            <w:tcW w:w="930" w:type="dxa"/>
            <w:shd w:val="clear" w:color="000000" w:fill="E8F6DB"/>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1.3 %</w:t>
            </w:r>
          </w:p>
        </w:tc>
        <w:tc>
          <w:tcPr>
            <w:tcW w:w="930" w:type="dxa"/>
            <w:shd w:val="clear" w:color="000000" w:fill="E3F3D3"/>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4.5 %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0.3 %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61.2 %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2.8 %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4F4D4"/>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4.1 %</w:t>
            </w:r>
          </w:p>
        </w:tc>
        <w:tc>
          <w:tcPr>
            <w:tcW w:w="930" w:type="dxa"/>
            <w:shd w:val="clear" w:color="000000" w:fill="DAEFC5"/>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10.4 %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17.4 %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Národní bezpečnostní úřad – úkonů: 78</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74.4 %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74.4 %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29.5 %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29.5 %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BBE098"/>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29.5 %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29.5 %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Národní úřad pro kybernetickou a informační bezpečnost – úkonů: 20</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85.0 %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85.0 %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85.0 %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85.0 %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CAE7A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20.0 %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Rada pro rozhlasové a televizní vysílání – úkonů: 163</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87.7 %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87.7 %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42.3 %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4F4D5"/>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3.7 %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46.0 %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0.0 %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Správa státních hmotných rezerv – úkonů: 17</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70.6 %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1F2D0"/>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5.9 %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76.5 %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23.5 %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C5E4A6"/>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23.5 %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47.1 %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0.0 %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Státní úřad pro jadernou bezpečnost – úkonů: 1750</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98.6 %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98.6 %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98.6 %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98.6 %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EAF7DE"/>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0.1 %</w:t>
            </w:r>
          </w:p>
        </w:tc>
        <w:tc>
          <w:tcPr>
            <w:tcW w:w="930" w:type="dxa"/>
            <w:shd w:val="clear" w:color="000000" w:fill="E6F5D9"/>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2.3 %</w:t>
            </w:r>
          </w:p>
        </w:tc>
        <w:tc>
          <w:tcPr>
            <w:tcW w:w="930" w:type="dxa"/>
            <w:shd w:val="clear" w:color="000000" w:fill="E9F7DD"/>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0.4 %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2.8 %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Úřad pro ochranu hospodářské soutěže – úkonů: 47</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lastRenderedPageBreak/>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91.5 %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91.5 %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91.5 %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91.5 %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BADF97"/>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29.8 %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29.8 %</w:t>
            </w:r>
          </w:p>
        </w:tc>
      </w:tr>
      <w:tr w:rsidR="0007561D" w:rsidRPr="0007561D" w:rsidTr="0007561D">
        <w:trPr>
          <w:trHeight w:val="321"/>
        </w:trPr>
        <w:tc>
          <w:tcPr>
            <w:tcW w:w="8931" w:type="dxa"/>
            <w:gridSpan w:val="8"/>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Úřad průmyslového vlastnictví – úkonů: 1582</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datová schránka</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92.9 %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92.9 %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uz. el. podpis</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91.6 %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91.6 %</w:t>
            </w:r>
          </w:p>
        </w:tc>
      </w:tr>
      <w:tr w:rsidR="0007561D" w:rsidRPr="0007561D" w:rsidTr="0007561D">
        <w:trPr>
          <w:trHeight w:val="321"/>
        </w:trPr>
        <w:tc>
          <w:tcPr>
            <w:tcW w:w="1772" w:type="dxa"/>
            <w:shd w:val="clear" w:color="auto" w:fill="auto"/>
            <w:vAlign w:val="center"/>
            <w:hideMark/>
          </w:tcPr>
          <w:p w:rsidR="0007561D" w:rsidRPr="0007561D" w:rsidRDefault="0007561D" w:rsidP="0007561D">
            <w:pPr>
              <w:spacing w:after="0"/>
              <w:jc w:val="lef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portál</w:t>
            </w:r>
          </w:p>
        </w:tc>
        <w:tc>
          <w:tcPr>
            <w:tcW w:w="941"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38.1 %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930" w:type="dxa"/>
            <w:shd w:val="clear" w:color="000000" w:fill="FFFFFF"/>
            <w:vAlign w:val="center"/>
            <w:hideMark/>
          </w:tcPr>
          <w:p w:rsidR="0007561D" w:rsidRPr="0007561D" w:rsidRDefault="0007561D" w:rsidP="0007561D">
            <w:pPr>
              <w:spacing w:after="0"/>
              <w:jc w:val="right"/>
              <w:rPr>
                <w:rFonts w:asciiTheme="majorHAnsi" w:eastAsia="Times New Roman" w:hAnsiTheme="majorHAnsi" w:cstheme="majorHAnsi"/>
                <w:color w:val="000000"/>
                <w:sz w:val="22"/>
                <w:szCs w:val="22"/>
                <w:lang w:val="cs-CZ" w:eastAsia="cs-CZ"/>
              </w:rPr>
            </w:pPr>
            <w:r w:rsidRPr="0007561D">
              <w:rPr>
                <w:rFonts w:asciiTheme="majorHAnsi" w:eastAsia="Times New Roman" w:hAnsiTheme="majorHAnsi" w:cstheme="majorHAnsi"/>
                <w:color w:val="000000"/>
                <w:sz w:val="22"/>
                <w:szCs w:val="22"/>
                <w:lang w:val="cs-CZ" w:eastAsia="cs-CZ"/>
              </w:rPr>
              <w:t>0.0 %</w:t>
            </w:r>
          </w:p>
        </w:tc>
        <w:tc>
          <w:tcPr>
            <w:tcW w:w="1568" w:type="dxa"/>
            <w:shd w:val="clear" w:color="auto" w:fill="auto"/>
            <w:vAlign w:val="center"/>
            <w:hideMark/>
          </w:tcPr>
          <w:p w:rsidR="0007561D" w:rsidRPr="0007561D" w:rsidRDefault="0007561D" w:rsidP="0007561D">
            <w:pPr>
              <w:spacing w:after="0"/>
              <w:jc w:val="right"/>
              <w:rPr>
                <w:rFonts w:asciiTheme="majorHAnsi" w:eastAsia="Times New Roman" w:hAnsiTheme="majorHAnsi" w:cstheme="majorHAnsi"/>
                <w:b/>
                <w:bCs/>
                <w:color w:val="000000"/>
                <w:sz w:val="22"/>
                <w:szCs w:val="22"/>
                <w:lang w:val="cs-CZ" w:eastAsia="cs-CZ"/>
              </w:rPr>
            </w:pPr>
            <w:r w:rsidRPr="0007561D">
              <w:rPr>
                <w:rFonts w:asciiTheme="majorHAnsi" w:eastAsia="Times New Roman" w:hAnsiTheme="majorHAnsi" w:cstheme="majorHAnsi"/>
                <w:b/>
                <w:bCs/>
                <w:color w:val="000000"/>
                <w:sz w:val="22"/>
                <w:szCs w:val="22"/>
                <w:lang w:val="cs-CZ" w:eastAsia="cs-CZ"/>
              </w:rPr>
              <w:t>38.1 %</w:t>
            </w:r>
          </w:p>
        </w:tc>
      </w:tr>
    </w:tbl>
    <w:p w:rsidR="00E85B91" w:rsidRDefault="0007561D">
      <w:pPr>
        <w:pStyle w:val="Zkladntext"/>
      </w:pPr>
      <w:r>
        <w:t>Není nutně žádoucí, aby úkony daného gestora byly plně (ze 100 %) dostupné ve všech digitálních obslužných kanálech. V některých případech tomu brání úkony nevhodné k digitalizaci, nebo typ úkonu (vykonávaný orgánem veřejné moci). Dále také záleží na složitosti agendy, protože některé úkony se například portálovým řešením digitalizovat nevyplatí.</w:t>
      </w:r>
    </w:p>
    <w:tbl>
      <w:tblPr>
        <w:tblStyle w:val="Mkatabulky"/>
        <w:tblW w:w="0" w:type="auto"/>
        <w:tblLook w:val="04A0" w:firstRow="1" w:lastRow="0" w:firstColumn="1" w:lastColumn="0" w:noHBand="0" w:noVBand="1"/>
      </w:tblPr>
      <w:tblGrid>
        <w:gridCol w:w="9546"/>
      </w:tblGrid>
      <w:tr w:rsidR="0007561D" w:rsidRPr="0007561D" w:rsidTr="0007561D">
        <w:tc>
          <w:tcPr>
            <w:tcW w:w="9546" w:type="dxa"/>
          </w:tcPr>
          <w:p w:rsidR="0007561D" w:rsidRPr="0007561D" w:rsidRDefault="0007561D" w:rsidP="0007561D">
            <w:pPr>
              <w:pStyle w:val="Textvbloku"/>
            </w:pPr>
            <w:r w:rsidRPr="0007561D">
              <w:rPr>
                <w:i/>
                <w:iCs/>
              </w:rPr>
              <w:t>Metodická poznámka</w:t>
            </w:r>
            <w:r w:rsidRPr="0007561D">
              <w:br/>
              <w:t>Harmonogram vychází z kompletního katalogu služeb VS:</w:t>
            </w:r>
            <w:r w:rsidRPr="0007561D">
              <w:br/>
              <w:t>- schválených agend (referenční data),</w:t>
            </w:r>
            <w:r w:rsidRPr="0007561D">
              <w:br/>
              <w:t>- služeb iniciovaných klientem i služeb vykonávaných z moci úřední,</w:t>
            </w:r>
            <w:r w:rsidRPr="0007561D">
              <w:br/>
              <w:t>- všech úkonů bez ohledu na jejich fázi (začáteční, prostřední, koncová), vykonavatele (OVM, klient) a vhodnost k digitalizaci,</w:t>
            </w:r>
            <w:r w:rsidRPr="0007561D">
              <w:br/>
              <w:t>- plánu digitalizace, pokud k úkonům existuje,</w:t>
            </w:r>
            <w:r w:rsidRPr="0007561D">
              <w:br/>
              <w:t>- jsou vypuštěny údaje, u kterých to požadoval jiný gestor nebo obsahovaly chyby.</w:t>
            </w:r>
            <w:r w:rsidRPr="0007561D">
              <w:br/>
            </w:r>
            <w:r w:rsidRPr="0007561D">
              <w:rPr>
                <w:b/>
              </w:rPr>
              <w:t>Údaje uvedené v harmonogramu jsou podmíněné úplností katalogu služeb.</w:t>
            </w:r>
          </w:p>
        </w:tc>
      </w:tr>
    </w:tbl>
    <w:p w:rsidR="00E85B91" w:rsidRDefault="0007561D">
      <w:pPr>
        <w:pStyle w:val="Nadpis1"/>
      </w:pPr>
      <w:bookmarkStart w:id="2" w:name="_Toc81488939"/>
      <w:bookmarkStart w:id="3" w:name="X3b4d12ed382566e6502f8cbf672d9223e48c49c"/>
      <w:bookmarkEnd w:id="1"/>
      <w:r>
        <w:t>Analýza dat v katalogu služeb veřejné správy</w:t>
      </w:r>
      <w:bookmarkEnd w:id="2"/>
    </w:p>
    <w:p w:rsidR="00E85B91" w:rsidRDefault="0007561D">
      <w:pPr>
        <w:pStyle w:val="Nadpis2"/>
      </w:pPr>
      <w:bookmarkStart w:id="4" w:name="_Toc81488940"/>
      <w:bookmarkStart w:id="5" w:name="manažerské-shrnutí"/>
      <w:r>
        <w:t>Manažerské shrnutí</w:t>
      </w:r>
      <w:bookmarkEnd w:id="4"/>
    </w:p>
    <w:p w:rsidR="00E85B91" w:rsidRDefault="0007561D">
      <w:pPr>
        <w:pStyle w:val="Compact"/>
        <w:numPr>
          <w:ilvl w:val="0"/>
          <w:numId w:val="11"/>
        </w:numPr>
      </w:pPr>
      <w:r>
        <w:t>Podklady ke katalogu služeb dodali ohlašovatelé pro 377 agend (99 %).</w:t>
      </w:r>
    </w:p>
    <w:p w:rsidR="00E85B91" w:rsidRDefault="0007561D">
      <w:pPr>
        <w:pStyle w:val="Compact"/>
        <w:numPr>
          <w:ilvl w:val="0"/>
          <w:numId w:val="11"/>
        </w:numPr>
      </w:pPr>
      <w:r>
        <w:t xml:space="preserve">Katalog služeb je naplněn z 84 % (schváleno je 321 agend z 380). </w:t>
      </w:r>
      <w:r>
        <w:rPr>
          <w:b/>
          <w:bCs/>
        </w:rPr>
        <w:t>Pouze schválené agendy jsou podkladem pro Aktualizovaný harmonogram digitalizace a tuto analýzu.</w:t>
      </w:r>
    </w:p>
    <w:p w:rsidR="00E85B91" w:rsidRDefault="0007561D">
      <w:pPr>
        <w:pStyle w:val="Compact"/>
        <w:numPr>
          <w:ilvl w:val="0"/>
          <w:numId w:val="11"/>
        </w:numPr>
      </w:pPr>
      <w:r>
        <w:t>Katalog služeb obsahuje:</w:t>
      </w:r>
    </w:p>
    <w:p w:rsidR="00E85B91" w:rsidRDefault="0007561D">
      <w:pPr>
        <w:pStyle w:val="Compact"/>
        <w:numPr>
          <w:ilvl w:val="1"/>
          <w:numId w:val="12"/>
        </w:numPr>
      </w:pPr>
      <w:r>
        <w:t>5 039 služeb</w:t>
      </w:r>
    </w:p>
    <w:p w:rsidR="00E85B91" w:rsidRDefault="0007561D">
      <w:pPr>
        <w:pStyle w:val="Compact"/>
        <w:numPr>
          <w:ilvl w:val="1"/>
          <w:numId w:val="12"/>
        </w:numPr>
      </w:pPr>
      <w:r>
        <w:t>19 728 úkonů</w:t>
      </w:r>
    </w:p>
    <w:p w:rsidR="00E85B91" w:rsidRDefault="0007561D">
      <w:pPr>
        <w:pStyle w:val="Compact"/>
        <w:numPr>
          <w:ilvl w:val="0"/>
          <w:numId w:val="11"/>
        </w:numPr>
      </w:pPr>
      <w:r>
        <w:t>Klient si dnes digitálně může vyřídit 92 % úkonů. V naprosté většině ale musí disponovat datovou schránkou.</w:t>
      </w:r>
    </w:p>
    <w:p w:rsidR="00E85B91" w:rsidRDefault="0007561D">
      <w:pPr>
        <w:pStyle w:val="Compact"/>
        <w:numPr>
          <w:ilvl w:val="0"/>
          <w:numId w:val="11"/>
        </w:numPr>
      </w:pPr>
      <w:r>
        <w:t>Příprava podání (a jeho odeslání) na samoobslužném portálu je možná u 13 % úkonů, které může klient činit.</w:t>
      </w:r>
    </w:p>
    <w:p w:rsidR="00E85B91" w:rsidRDefault="0007561D">
      <w:pPr>
        <w:pStyle w:val="Compact"/>
        <w:numPr>
          <w:ilvl w:val="0"/>
          <w:numId w:val="11"/>
        </w:numPr>
      </w:pPr>
      <w:r>
        <w:t>Podíl v následujících letech vzroste, protože pomocí samoobslužného portálu si bude moci klient vyřídit dalších 2296 úkonů (podíl úkonů realizovatelných klientem na samooblužném portálu vzroste na 39 %).</w:t>
      </w:r>
    </w:p>
    <w:p w:rsidR="00E85B91" w:rsidRDefault="0007561D">
      <w:pPr>
        <w:pStyle w:val="Nadpis2"/>
      </w:pPr>
      <w:bookmarkStart w:id="6" w:name="_Toc81488941"/>
      <w:bookmarkStart w:id="7" w:name="Xfc36611fb8c0342e085243ec53c2c82bdb0d965"/>
      <w:bookmarkEnd w:id="5"/>
      <w:r>
        <w:lastRenderedPageBreak/>
        <w:t>Informace o agendách a jejich zpracování pro katalog služeb veřejné správy</w:t>
      </w:r>
      <w:bookmarkEnd w:id="6"/>
    </w:p>
    <w:p w:rsidR="00E85B91" w:rsidRDefault="0007561D">
      <w:pPr>
        <w:pStyle w:val="FirstParagraph"/>
      </w:pPr>
      <w:r>
        <w:t>Vzhledem k tomu, že evidence služeb VS a vytváření podkladů pro harmonogram digitalizace je spojeno s existencí agendy v Registru práv a povinností (dále jen „RPP“), úvodní část této analýzy se věnuje rozdělení agend mezi jednotlivé úřady a vytvoření katalogu služeb.</w:t>
      </w:r>
    </w:p>
    <w:p w:rsidR="00E85B91" w:rsidRDefault="0007561D">
      <w:pPr>
        <w:pStyle w:val="Zkladntext"/>
      </w:pPr>
      <w:r>
        <w:t>RPP k 01. 09. 2021 obsahuje 380 platných agend. Schválenou agendu s daty pro katalog služeb má 321 agend. Celkem 56 agend čeká na schválení správce katalogu služeb nebo upravuje podklady pro katalog služeb dle připomínek správce katalogu služeb (Ministerstva vnitra).</w:t>
      </w:r>
    </w:p>
    <w:p w:rsidR="0007561D" w:rsidRDefault="0007561D" w:rsidP="0007561D">
      <w:pPr>
        <w:pStyle w:val="Titulek"/>
        <w:keepNext/>
      </w:pPr>
      <w:r>
        <w:t xml:space="preserve">Graf </w:t>
      </w:r>
      <w:r>
        <w:fldChar w:fldCharType="begin"/>
      </w:r>
      <w:r>
        <w:instrText xml:space="preserve"> SEQ Graf \* ARABIC </w:instrText>
      </w:r>
      <w:r>
        <w:fldChar w:fldCharType="separate"/>
      </w:r>
      <w:r w:rsidR="00DD70D5">
        <w:rPr>
          <w:noProof/>
        </w:rPr>
        <w:t>1</w:t>
      </w:r>
      <w:r>
        <w:fldChar w:fldCharType="end"/>
      </w:r>
      <w:r>
        <w:t>: Ohlašovatelé dle stavu zpracování katalogu služeb ve svých agendách</w:t>
      </w:r>
    </w:p>
    <w:p w:rsidR="00E85B91" w:rsidRDefault="0007561D">
      <w:pPr>
        <w:pStyle w:val="Zkladntext"/>
      </w:pPr>
      <w:r>
        <w:rPr>
          <w:noProof/>
          <w:lang w:eastAsia="cs-CZ"/>
        </w:rPr>
        <w:drawing>
          <wp:inline distT="0" distB="0" distL="0" distR="0" wp14:anchorId="084A551D" wp14:editId="26AFF1A9">
            <wp:extent cx="5969000" cy="426357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analyza_files/figure-docx/unnamed-chunk-3-1.png"/>
                    <pic:cNvPicPr>
                      <a:picLocks noChangeAspect="1" noChangeArrowheads="1"/>
                    </pic:cNvPicPr>
                  </pic:nvPicPr>
                  <pic:blipFill>
                    <a:blip r:embed="rId9"/>
                    <a:stretch>
                      <a:fillRect/>
                    </a:stretch>
                  </pic:blipFill>
                  <pic:spPr bwMode="auto">
                    <a:xfrm>
                      <a:off x="0" y="0"/>
                      <a:ext cx="5969000" cy="4263571"/>
                    </a:xfrm>
                    <a:prstGeom prst="rect">
                      <a:avLst/>
                    </a:prstGeom>
                    <a:noFill/>
                    <a:ln w="9525">
                      <a:noFill/>
                      <a:headEnd/>
                      <a:tailEnd/>
                    </a:ln>
                  </pic:spPr>
                </pic:pic>
              </a:graphicData>
            </a:graphic>
          </wp:inline>
        </w:drawing>
      </w:r>
    </w:p>
    <w:p w:rsidR="00E85B91" w:rsidRDefault="0007561D">
      <w:pPr>
        <w:pStyle w:val="Zkladntext"/>
      </w:pPr>
      <w:r>
        <w:t xml:space="preserve">Jak je z grafu patrné, ohlašovatelé s nižším počtem agend svoji povinnost splnili a ve svých agendách katalog služeb vytvořili. V případě ohlašovatelů s větším počtem agend evidence služeb většinou kompletní není a chybí jednotky agend (stav pracuje nebo zbývá). Jen nepatrná část agend zatím ke katalogu služeb žádné podklady neposlala (stav zbývá). </w:t>
      </w:r>
      <w:r>
        <w:rPr>
          <w:b/>
          <w:bCs/>
        </w:rPr>
        <w:t>Pouze schválené agendy s katalogem služeb (stav hotovo) jsou podkladem pro aktualizovaný harmonogram digitalizace a tuto analýzu.</w:t>
      </w:r>
    </w:p>
    <w:p w:rsidR="0007561D" w:rsidRDefault="0007561D" w:rsidP="0007561D">
      <w:pPr>
        <w:pStyle w:val="Titulek"/>
        <w:keepNext/>
      </w:pPr>
      <w:r>
        <w:lastRenderedPageBreak/>
        <w:t xml:space="preserve">Tabulka </w:t>
      </w:r>
      <w:r>
        <w:fldChar w:fldCharType="begin"/>
      </w:r>
      <w:r>
        <w:instrText xml:space="preserve"> SEQ Tabulka \* ARABIC </w:instrText>
      </w:r>
      <w:r>
        <w:fldChar w:fldCharType="separate"/>
      </w:r>
      <w:r w:rsidR="00DD70D5">
        <w:rPr>
          <w:noProof/>
        </w:rPr>
        <w:t>2</w:t>
      </w:r>
      <w:r>
        <w:fldChar w:fldCharType="end"/>
      </w:r>
      <w:r>
        <w:t xml:space="preserve">: </w:t>
      </w:r>
      <w:r w:rsidRPr="0063739D">
        <w:t>Přehled agend, které nemají schválený katalog služeb</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51"/>
        <w:gridCol w:w="4869"/>
        <w:gridCol w:w="2817"/>
        <w:gridCol w:w="885"/>
      </w:tblGrid>
      <w:tr w:rsidR="00E85B91" w:rsidRPr="0007561D" w:rsidTr="00DD70D5">
        <w:trPr>
          <w:tblHeader/>
        </w:trPr>
        <w:tc>
          <w:tcPr>
            <w:tcW w:w="0" w:type="auto"/>
          </w:tcPr>
          <w:p w:rsidR="00E85B91" w:rsidRPr="0007561D" w:rsidRDefault="0007561D">
            <w:pPr>
              <w:pStyle w:val="Compact"/>
              <w:jc w:val="left"/>
              <w:rPr>
                <w:rFonts w:asciiTheme="majorHAnsi" w:hAnsiTheme="majorHAnsi" w:cstheme="majorHAnsi"/>
                <w:b/>
                <w:sz w:val="22"/>
                <w:szCs w:val="22"/>
              </w:rPr>
            </w:pPr>
            <w:r w:rsidRPr="0007561D">
              <w:rPr>
                <w:rFonts w:asciiTheme="majorHAnsi" w:hAnsiTheme="majorHAnsi" w:cstheme="majorHAnsi"/>
                <w:b/>
                <w:sz w:val="22"/>
                <w:szCs w:val="22"/>
              </w:rPr>
              <w:t>kód agendy</w:t>
            </w:r>
          </w:p>
        </w:tc>
        <w:tc>
          <w:tcPr>
            <w:tcW w:w="2530" w:type="pct"/>
          </w:tcPr>
          <w:p w:rsidR="00E85B91" w:rsidRPr="0007561D" w:rsidRDefault="0007561D">
            <w:pPr>
              <w:pStyle w:val="Compact"/>
              <w:jc w:val="left"/>
              <w:rPr>
                <w:rFonts w:asciiTheme="majorHAnsi" w:hAnsiTheme="majorHAnsi" w:cstheme="majorHAnsi"/>
                <w:b/>
                <w:sz w:val="22"/>
                <w:szCs w:val="22"/>
              </w:rPr>
            </w:pPr>
            <w:r w:rsidRPr="0007561D">
              <w:rPr>
                <w:rFonts w:asciiTheme="majorHAnsi" w:hAnsiTheme="majorHAnsi" w:cstheme="majorHAnsi"/>
                <w:b/>
                <w:sz w:val="22"/>
                <w:szCs w:val="22"/>
              </w:rPr>
              <w:t>název agendy</w:t>
            </w:r>
          </w:p>
        </w:tc>
        <w:tc>
          <w:tcPr>
            <w:tcW w:w="1464" w:type="pct"/>
          </w:tcPr>
          <w:p w:rsidR="00E85B91" w:rsidRPr="0007561D" w:rsidRDefault="0007561D">
            <w:pPr>
              <w:pStyle w:val="Compact"/>
              <w:jc w:val="left"/>
              <w:rPr>
                <w:rFonts w:asciiTheme="majorHAnsi" w:hAnsiTheme="majorHAnsi" w:cstheme="majorHAnsi"/>
                <w:b/>
                <w:sz w:val="22"/>
                <w:szCs w:val="22"/>
              </w:rPr>
            </w:pPr>
            <w:r w:rsidRPr="0007561D">
              <w:rPr>
                <w:rFonts w:asciiTheme="majorHAnsi" w:hAnsiTheme="majorHAnsi" w:cstheme="majorHAnsi"/>
                <w:b/>
                <w:sz w:val="22"/>
                <w:szCs w:val="22"/>
              </w:rPr>
              <w:t>ohlašovatel</w:t>
            </w:r>
          </w:p>
        </w:tc>
        <w:tc>
          <w:tcPr>
            <w:tcW w:w="0" w:type="auto"/>
          </w:tcPr>
          <w:p w:rsidR="00E85B91" w:rsidRPr="0007561D" w:rsidRDefault="0007561D">
            <w:pPr>
              <w:pStyle w:val="Compact"/>
              <w:jc w:val="left"/>
              <w:rPr>
                <w:rFonts w:asciiTheme="majorHAnsi" w:hAnsiTheme="majorHAnsi" w:cstheme="majorHAnsi"/>
                <w:b/>
                <w:sz w:val="22"/>
                <w:szCs w:val="22"/>
              </w:rPr>
            </w:pPr>
            <w:r w:rsidRPr="0007561D">
              <w:rPr>
                <w:rFonts w:asciiTheme="majorHAnsi" w:hAnsiTheme="majorHAnsi" w:cstheme="majorHAnsi"/>
                <w:b/>
                <w:sz w:val="22"/>
                <w:szCs w:val="22"/>
              </w:rPr>
              <w:t>stav</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Dohled nad finančním trhem</w:t>
            </w:r>
          </w:p>
        </w:tc>
        <w:tc>
          <w:tcPr>
            <w:tcW w:w="1464" w:type="pct"/>
          </w:tcPr>
          <w:p w:rsidR="00E85B91" w:rsidRPr="0007561D" w:rsidRDefault="00DD70D5">
            <w:pPr>
              <w:pStyle w:val="Compact"/>
              <w:jc w:val="left"/>
              <w:rPr>
                <w:rFonts w:asciiTheme="majorHAnsi" w:hAnsiTheme="majorHAnsi" w:cstheme="majorHAnsi"/>
                <w:sz w:val="22"/>
                <w:szCs w:val="22"/>
              </w:rPr>
            </w:pPr>
            <w:r w:rsidRPr="0007561D">
              <w:rPr>
                <w:rFonts w:asciiTheme="majorHAnsi" w:hAnsiTheme="majorHAnsi" w:cstheme="majorHAnsi"/>
                <w:sz w:val="22"/>
                <w:szCs w:val="22"/>
              </w:rPr>
              <w:t>Česká národní banka</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A575</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Výkon státní správy ve věcech civilního letectví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dopravy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A579</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Námořní plavba</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dopravy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A1041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Vnitrozemská plavba</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dopravy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A1401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Provozování dráhy a provozování drážní dopravy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dopravy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A43</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Pojištění odpovědnosti z provozu vozidla</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financí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A385</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Daňové řízení vykonávané územními finančními orgány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financí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A392</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Celnictví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financí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A404</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Provozování loterií a jiných podobných her</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financí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A1701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Mezinárodní spolupráce při správě daní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financí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A5</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Církve a náboženské společnosti</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A367</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Úmluva na ochranu kulturních statků za ozbrojeného konfliktu</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A369</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Druhý Protokol k Haagské úmluvě na ochranu kulturních statků za ozbrojeného konfliktu z roku 1954</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A371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Úmluva o ochraně archeologického dědictví Evropy (revidovaná)</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A372</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Knihovní zákon</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A373</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Zákon o neperiodických publikacích</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A374</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Úmluva o ochraně a podpoře rozmanitosti kulturních projevů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A376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Zákon o prodeji a vývozu předmětu kulturní hodnoty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A377</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Ochrana sbírek muzejní povahy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A378</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Navracení nezákonně vyvezených kulturních statků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A379</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Úmluva o ochraně architektonického dědictví Evropy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A380</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Vývoz některých kulturních statků z celního území Evropských společenství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A381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Opatření k zákazu a zamezení nedovoleného dovozu, vývozu a převodu vlastnictví kulturních statků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A431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Mezinárodní výměna publikací včetně oficiálních publikací a vládních dokumentů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A450</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Podpora kultury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lastRenderedPageBreak/>
              <w:t>A452</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Zákon o audiovizi</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A458</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Správa Státního fondu kultury České republiky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A1129</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Úmluva o ochraně světového kulturního a přírodního dědictví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A1134</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Podpora filmového průmyslu</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A1387</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Zákon o České televizi</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A1388</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Zákon o Českém rozhlasu</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kultury</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A1781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Insolvence</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práce a sociálních věcí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A479</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Agenda soudních exekutorů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spravedlnosti</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A1941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Střet zájmů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spravedlnosti</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A676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Rejstřík školských právnických osob</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školství, mládeže a tělovýchovy</w:t>
            </w:r>
          </w:p>
        </w:tc>
        <w:tc>
          <w:tcPr>
            <w:tcW w:w="0" w:type="auto"/>
            <w:shd w:val="clear" w:color="auto" w:fill="FBD4B4" w:themeFill="accent6" w:themeFillTint="66"/>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zbývá</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A115</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Evidence obyvatel a rodná čísla</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vnitra</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A350</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Rozhodování o mezinárodní ochraně (postavení uprchlíků)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vnitra</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A351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Dočasná ochrana</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vnitra</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A419</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Zbraně a střelivo</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vnitra</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A876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Služební poměr příslušníků bezpečnostních sborů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vnitra</w:t>
            </w:r>
          </w:p>
        </w:tc>
        <w:tc>
          <w:tcPr>
            <w:tcW w:w="0" w:type="auto"/>
            <w:shd w:val="clear" w:color="auto" w:fill="FBD4B4" w:themeFill="accent6" w:themeFillTint="66"/>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zbývá</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A1142</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Agenda zpravodajských služeb ČR</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vnitra</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A27</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Komory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zdravotnictví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A28</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Biocidní přípravky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zdravotnictví</w:t>
            </w:r>
          </w:p>
        </w:tc>
        <w:tc>
          <w:tcPr>
            <w:tcW w:w="0" w:type="auto"/>
            <w:shd w:val="clear" w:color="auto" w:fill="FBD4B4" w:themeFill="accent6" w:themeFillTint="66"/>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zbývá</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A476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Ochrana veřejného zdraví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zdravotnictví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A1086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Zdravotní služby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zdravotnictví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A1246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Lékařská zdravotnická povolání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zdravotnictví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A589</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Zemědělské veřejné sklady a zemědělské skladní listy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A943</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Myslivost</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A945</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Státní zemědělský intervenční fond</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A946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Státní správa rybářství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A1025</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Pozemkové úpravy</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A1044</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Veterinární zákon</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A1118</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Zákon o krmivech</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A1162</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Zákon o vodách</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A1182</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Ochrana zvířat proti týrání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zemědělství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A1120</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Nakládání s obaly a odpady z obalů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 xml:space="preserve">Ministerstvo životního </w:t>
            </w:r>
            <w:r w:rsidRPr="0007561D">
              <w:rPr>
                <w:rFonts w:asciiTheme="majorHAnsi" w:hAnsiTheme="majorHAnsi" w:cstheme="majorHAnsi"/>
                <w:sz w:val="22"/>
                <w:szCs w:val="22"/>
              </w:rPr>
              <w:lastRenderedPageBreak/>
              <w:t>prostředí</w:t>
            </w:r>
          </w:p>
        </w:tc>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lastRenderedPageBreak/>
              <w:t>pracuje</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A1186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Odpadové hospodářství</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Ministerstvo životního prostředí</w:t>
            </w:r>
          </w:p>
        </w:tc>
        <w:tc>
          <w:tcPr>
            <w:tcW w:w="0" w:type="auto"/>
            <w:shd w:val="clear" w:color="auto" w:fill="FBD4B4" w:themeFill="accent6" w:themeFillTint="66"/>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zbývá</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A2106</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Zákon o podpoře sportu</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Národní sportovní agentura</w:t>
            </w:r>
          </w:p>
        </w:tc>
        <w:tc>
          <w:tcPr>
            <w:tcW w:w="0" w:type="auto"/>
            <w:shd w:val="clear" w:color="auto" w:fill="FBD4B4" w:themeFill="accent6" w:themeFillTint="66"/>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zbývá</w:t>
            </w:r>
          </w:p>
        </w:tc>
      </w:tr>
      <w:tr w:rsidR="00E85B91" w:rsidRPr="0007561D" w:rsidTr="00DD70D5">
        <w:tc>
          <w:tcPr>
            <w:tcW w:w="0" w:type="auto"/>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A851</w:t>
            </w:r>
          </w:p>
        </w:tc>
        <w:tc>
          <w:tcPr>
            <w:tcW w:w="2530"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Dozorová činnost v oblasti ochrany osobních údajů</w:t>
            </w:r>
          </w:p>
        </w:tc>
        <w:tc>
          <w:tcPr>
            <w:tcW w:w="1464" w:type="pct"/>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Úřad pro ochranu osobních údajů</w:t>
            </w:r>
          </w:p>
        </w:tc>
        <w:tc>
          <w:tcPr>
            <w:tcW w:w="0" w:type="auto"/>
            <w:shd w:val="clear" w:color="auto" w:fill="FBD4B4" w:themeFill="accent6" w:themeFillTint="66"/>
          </w:tcPr>
          <w:p w:rsidR="00E85B91" w:rsidRPr="0007561D" w:rsidRDefault="0007561D">
            <w:pPr>
              <w:pStyle w:val="Compact"/>
              <w:jc w:val="left"/>
              <w:rPr>
                <w:rFonts w:asciiTheme="majorHAnsi" w:hAnsiTheme="majorHAnsi" w:cstheme="majorHAnsi"/>
                <w:sz w:val="22"/>
                <w:szCs w:val="22"/>
              </w:rPr>
            </w:pPr>
            <w:r w:rsidRPr="0007561D">
              <w:rPr>
                <w:rFonts w:asciiTheme="majorHAnsi" w:hAnsiTheme="majorHAnsi" w:cstheme="majorHAnsi"/>
                <w:sz w:val="22"/>
                <w:szCs w:val="22"/>
              </w:rPr>
              <w:t>zbývá</w:t>
            </w:r>
          </w:p>
        </w:tc>
      </w:tr>
    </w:tbl>
    <w:p w:rsidR="00E85B91" w:rsidRDefault="0007561D">
      <w:pPr>
        <w:pStyle w:val="Zkladntext"/>
      </w:pPr>
      <w:r>
        <w:t>U agend ve stavu pracuje je nutné urychleně dokončit evidenci služeb. V případě agend ve stavu zbývá je klíčové definovat odpovědnost za katalog služeb VS, protože navzdory všem urgencím Ministerstvo vnitra stále neobdrželo ohlášení agendy s daty ke katalogu služeb.</w:t>
      </w:r>
    </w:p>
    <w:p w:rsidR="00E85B91" w:rsidRDefault="0007561D">
      <w:pPr>
        <w:pStyle w:val="Nadpis2"/>
      </w:pPr>
      <w:bookmarkStart w:id="8" w:name="_Toc81488942"/>
      <w:bookmarkStart w:id="9" w:name="struktura-katalogu-služeb"/>
      <w:bookmarkEnd w:id="7"/>
      <w:r>
        <w:t>Struktura katalogu služeb</w:t>
      </w:r>
      <w:bookmarkEnd w:id="8"/>
    </w:p>
    <w:p w:rsidR="00E85B91" w:rsidRDefault="0007561D">
      <w:pPr>
        <w:pStyle w:val="FirstParagraph"/>
      </w:pPr>
      <w:r>
        <w:t>Katalog služeb je hierarchicky uspořádán, kdy v rámci každé agendy může existovat jedna či více služeb VS (existují i agendy bez služeb VS). Každá služba se skládá z jednoho či více úkonů a každý úkon má jeden či více obslužných kanálů.</w:t>
      </w:r>
      <w:r>
        <w:rPr>
          <w:rStyle w:val="Znakapoznpodarou"/>
        </w:rPr>
        <w:footnoteReference w:id="2"/>
      </w:r>
    </w:p>
    <w:p w:rsidR="00DD70D5" w:rsidRDefault="00DD70D5" w:rsidP="00DD70D5">
      <w:pPr>
        <w:pStyle w:val="Titulek"/>
        <w:keepNext/>
      </w:pPr>
      <w:r>
        <w:t xml:space="preserve">Obrázek </w:t>
      </w:r>
      <w:r>
        <w:fldChar w:fldCharType="begin"/>
      </w:r>
      <w:r>
        <w:instrText xml:space="preserve"> SEQ Obrázek \* ARABIC </w:instrText>
      </w:r>
      <w:r>
        <w:fldChar w:fldCharType="separate"/>
      </w:r>
      <w:r>
        <w:rPr>
          <w:noProof/>
        </w:rPr>
        <w:t>1</w:t>
      </w:r>
      <w:r>
        <w:fldChar w:fldCharType="end"/>
      </w:r>
      <w:r>
        <w:t>: Struktura katalogu služeb VS</w:t>
      </w:r>
    </w:p>
    <w:p w:rsidR="00E85B91" w:rsidRDefault="0007561D">
      <w:pPr>
        <w:pStyle w:val="Zkladntext"/>
      </w:pPr>
      <w:r>
        <w:rPr>
          <w:noProof/>
          <w:lang w:eastAsia="cs-CZ"/>
        </w:rPr>
        <w:drawing>
          <wp:inline distT="0" distB="0" distL="0" distR="0" wp14:anchorId="46D695BE" wp14:editId="313B8074">
            <wp:extent cx="5969000" cy="275314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img/struktura_ks.png"/>
                    <pic:cNvPicPr>
                      <a:picLocks noChangeAspect="1" noChangeArrowheads="1"/>
                    </pic:cNvPicPr>
                  </pic:nvPicPr>
                  <pic:blipFill>
                    <a:blip r:embed="rId10"/>
                    <a:stretch>
                      <a:fillRect/>
                    </a:stretch>
                  </pic:blipFill>
                  <pic:spPr bwMode="auto">
                    <a:xfrm>
                      <a:off x="0" y="0"/>
                      <a:ext cx="5969000" cy="2753143"/>
                    </a:xfrm>
                    <a:prstGeom prst="rect">
                      <a:avLst/>
                    </a:prstGeom>
                    <a:noFill/>
                    <a:ln w="9525">
                      <a:noFill/>
                      <a:headEnd/>
                      <a:tailEnd/>
                    </a:ln>
                  </pic:spPr>
                </pic:pic>
              </a:graphicData>
            </a:graphic>
          </wp:inline>
        </w:drawing>
      </w:r>
    </w:p>
    <w:p w:rsidR="00E85B91" w:rsidRDefault="0007561D">
      <w:pPr>
        <w:pStyle w:val="Zkladntext"/>
      </w:pPr>
      <w:r>
        <w:t xml:space="preserve">Kompletní obsah katalogu služeb, nejen plánované obslužné kanály, ale i realizované obslužné kanály ve výše uvedené struktuře je veřejně přístupný </w:t>
      </w:r>
      <w:r w:rsidRPr="00DB537A">
        <w:t xml:space="preserve">ve </w:t>
      </w:r>
      <w:hyperlink r:id="rId11">
        <w:r w:rsidRPr="00DB537A">
          <w:rPr>
            <w:rStyle w:val="Hypertextovodkaz"/>
            <w:i w:val="0"/>
            <w:sz w:val="24"/>
          </w:rPr>
          <w:t>zvláštní aplikaci</w:t>
        </w:r>
      </w:hyperlink>
      <w:r>
        <w:t>. Detailní popisy služeb VS jsou pro veřejnost publikovány na</w:t>
      </w:r>
      <w:r w:rsidRPr="00DB537A">
        <w:rPr>
          <w:i/>
        </w:rPr>
        <w:t xml:space="preserve"> </w:t>
      </w:r>
      <w:hyperlink r:id="rId12">
        <w:r w:rsidRPr="00DB537A">
          <w:rPr>
            <w:rStyle w:val="Hypertextovodkaz"/>
            <w:i w:val="0"/>
            <w:sz w:val="24"/>
          </w:rPr>
          <w:t>gov.cz</w:t>
        </w:r>
      </w:hyperlink>
      <w:r w:rsidRPr="00DB537A">
        <w:rPr>
          <w:i/>
        </w:rPr>
        <w:t>.</w:t>
      </w:r>
    </w:p>
    <w:p w:rsidR="00E85B91" w:rsidRDefault="0007561D">
      <w:pPr>
        <w:pStyle w:val="Nadpis2"/>
      </w:pPr>
      <w:bookmarkStart w:id="10" w:name="_Toc81488943"/>
      <w:bookmarkStart w:id="11" w:name="stávající-stav-digitalizace"/>
      <w:bookmarkEnd w:id="9"/>
      <w:r>
        <w:lastRenderedPageBreak/>
        <w:t>Stávající stav digitalizace</w:t>
      </w:r>
      <w:bookmarkEnd w:id="10"/>
    </w:p>
    <w:p w:rsidR="00E85B91" w:rsidRDefault="0007561D">
      <w:pPr>
        <w:pStyle w:val="FirstParagraph"/>
      </w:pPr>
      <w:r>
        <w:t>Tato kapitola se omezuje na úkony vykonávané klientem vůči veřejné správě. V případě úkonů vykonávaných orgány veřejné moci jde totiž typicky o doručování, které se standardně provádí pomocí datové schránky, pokud jí klient disponuje a má ji zpřístupněnou.</w:t>
      </w:r>
    </w:p>
    <w:p w:rsidR="00E85B91" w:rsidRDefault="0007561D">
      <w:pPr>
        <w:pStyle w:val="Zkladntext"/>
      </w:pPr>
      <w:r>
        <w:t>Následující tabulka zobrazuje, jaké procento ze všech úkonů iniciovaných klientem lze provést jednotlivými způsoby (obslužnými kanál</w:t>
      </w:r>
      <w:r w:rsidR="007B2A17">
        <w:t xml:space="preserve">y). V tabulce jsou zahrnuty digitální </w:t>
      </w:r>
      <w:r>
        <w:t>i</w:t>
      </w:r>
      <w:r w:rsidR="007B2A17">
        <w:t> </w:t>
      </w:r>
      <w:bookmarkStart w:id="12" w:name="_GoBack"/>
      <w:bookmarkEnd w:id="12"/>
      <w:r>
        <w:t>nedigitální obslužné kanály. Možnost vyřízení alespoň jedním digitálním kanálem existuje u 92 % ze všech 8 901 úkonů vykonávaných klientem.</w:t>
      </w:r>
    </w:p>
    <w:p w:rsidR="00DD70D5" w:rsidRDefault="00DD70D5" w:rsidP="00DD70D5">
      <w:pPr>
        <w:pStyle w:val="Titulek"/>
        <w:keepNext/>
      </w:pPr>
      <w:r>
        <w:t xml:space="preserve">Tabulka </w:t>
      </w:r>
      <w:r>
        <w:fldChar w:fldCharType="begin"/>
      </w:r>
      <w:r>
        <w:instrText xml:space="preserve"> SEQ Tabulka \* ARABIC </w:instrText>
      </w:r>
      <w:r>
        <w:fldChar w:fldCharType="separate"/>
      </w:r>
      <w:r>
        <w:rPr>
          <w:noProof/>
        </w:rPr>
        <w:t>3</w:t>
      </w:r>
      <w:r>
        <w:fldChar w:fldCharType="end"/>
      </w:r>
      <w:r>
        <w:t>: Procento úkonů klienta, které lze realizovat daným obslužným kanálem</w:t>
      </w:r>
    </w:p>
    <w:tbl>
      <w:tblPr>
        <w:tblStyle w:val="Mkatabulky"/>
        <w:tblW w:w="5000" w:type="pct"/>
        <w:tblLook w:val="0020" w:firstRow="1" w:lastRow="0" w:firstColumn="0" w:lastColumn="0" w:noHBand="0" w:noVBand="0"/>
      </w:tblPr>
      <w:tblGrid>
        <w:gridCol w:w="8494"/>
        <w:gridCol w:w="1128"/>
      </w:tblGrid>
      <w:tr w:rsidR="00E85B91" w:rsidRPr="00DD70D5" w:rsidTr="00DD70D5">
        <w:tc>
          <w:tcPr>
            <w:tcW w:w="0" w:type="auto"/>
          </w:tcPr>
          <w:p w:rsidR="00E85B91" w:rsidRPr="00DD70D5" w:rsidRDefault="0007561D">
            <w:pPr>
              <w:pStyle w:val="Compact"/>
              <w:jc w:val="left"/>
              <w:rPr>
                <w:rFonts w:asciiTheme="majorHAnsi" w:hAnsiTheme="majorHAnsi" w:cstheme="majorHAnsi"/>
                <w:b/>
                <w:sz w:val="22"/>
                <w:szCs w:val="22"/>
              </w:rPr>
            </w:pPr>
            <w:r w:rsidRPr="00DD70D5">
              <w:rPr>
                <w:rFonts w:asciiTheme="majorHAnsi" w:hAnsiTheme="majorHAnsi" w:cstheme="majorHAnsi"/>
                <w:b/>
                <w:sz w:val="22"/>
                <w:szCs w:val="22"/>
              </w:rPr>
              <w:t>obslužný kanál</w:t>
            </w:r>
          </w:p>
        </w:tc>
        <w:tc>
          <w:tcPr>
            <w:tcW w:w="0" w:type="auto"/>
          </w:tcPr>
          <w:p w:rsidR="00E85B91" w:rsidRPr="00DD70D5" w:rsidRDefault="0007561D">
            <w:pPr>
              <w:pStyle w:val="Compact"/>
              <w:jc w:val="left"/>
              <w:rPr>
                <w:rFonts w:asciiTheme="majorHAnsi" w:hAnsiTheme="majorHAnsi" w:cstheme="majorHAnsi"/>
                <w:b/>
                <w:sz w:val="22"/>
                <w:szCs w:val="22"/>
              </w:rPr>
            </w:pPr>
            <w:r w:rsidRPr="00DD70D5">
              <w:rPr>
                <w:rFonts w:asciiTheme="majorHAnsi" w:hAnsiTheme="majorHAnsi" w:cstheme="majorHAnsi"/>
                <w:b/>
                <w:sz w:val="22"/>
                <w:szCs w:val="22"/>
              </w:rPr>
              <w:t>procent</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osobně</w:t>
            </w:r>
          </w:p>
        </w:tc>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90 %</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pošta</w:t>
            </w:r>
          </w:p>
        </w:tc>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85 %</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datová schránka</w:t>
            </w:r>
          </w:p>
        </w:tc>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83 %</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dokument opatřený uznávaným elektronickým podpisem</w:t>
            </w:r>
          </w:p>
        </w:tc>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76 %</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ostatní formy dálkového přístupu (např. veřejná datová síť, telefonicky atd.)</w:t>
            </w:r>
          </w:p>
        </w:tc>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25 %</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samoobslužný portál (AIS)</w:t>
            </w:r>
          </w:p>
        </w:tc>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13 %</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jiný způsob, pokud tak stanoví právní předpis</w:t>
            </w:r>
          </w:p>
        </w:tc>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4 %</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Czech POINT</w:t>
            </w:r>
          </w:p>
        </w:tc>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1 %</w:t>
            </w:r>
          </w:p>
        </w:tc>
      </w:tr>
    </w:tbl>
    <w:p w:rsidR="00E85B91" w:rsidRDefault="0007561D">
      <w:pPr>
        <w:pStyle w:val="Zkladntext"/>
      </w:pPr>
      <w:r>
        <w:t>Tradičně nejvíce úkonů lze vyřídit prostřednictvím fyzických obslužných kanálů (osobní návštěva úřadu a pošta). Zároveň se ukazuje, že velký procentní podíl úkonů lze vyřídit také prostřednictvím digitálních korespondenčních kanálů. Možnost činit úkony digitálně je realitou a o to důležitější je informovat a přesvědčit veřejnost, klienty veřejné správy, aby možností digitální obsluhy využívala.</w:t>
      </w:r>
    </w:p>
    <w:p w:rsidR="00E85B91" w:rsidRDefault="0007561D">
      <w:pPr>
        <w:pStyle w:val="Zkladntext"/>
      </w:pPr>
      <w:r>
        <w:t>Na druhé straně je patrné, že samoobslužný portál, který z hlediska široké veřejnosti nabízí nejvyšší uživatelský komfort (personalizace, předvyplnění formuláře, historie podání atd.) není v české veřejné správě zatím výrazněji rozšířen.</w:t>
      </w:r>
    </w:p>
    <w:p w:rsidR="00E85B91" w:rsidRDefault="0007561D">
      <w:pPr>
        <w:pStyle w:val="Zkladntext"/>
      </w:pPr>
      <w:r>
        <w:t>Za 13 let existence sítě kontaktních míst Czech POINT sice bylo vytvořeno velké množství kontaktních míst, ale lze na nich vyřídit jen nepatrné procento úkonů. Tento kanál je tak sice dobře dostupný pro klienta, ale veřejná správa jej pro nabídku svých služeb využívá velmi omezeně.</w:t>
      </w:r>
    </w:p>
    <w:p w:rsidR="00DD70D5" w:rsidRDefault="00DD70D5" w:rsidP="00DD70D5">
      <w:pPr>
        <w:pStyle w:val="Titulek"/>
        <w:keepNext/>
      </w:pPr>
      <w:r>
        <w:lastRenderedPageBreak/>
        <w:t xml:space="preserve">Graf </w:t>
      </w:r>
      <w:r>
        <w:fldChar w:fldCharType="begin"/>
      </w:r>
      <w:r>
        <w:instrText xml:space="preserve"> SEQ Graf \* ARABIC </w:instrText>
      </w:r>
      <w:r>
        <w:fldChar w:fldCharType="separate"/>
      </w:r>
      <w:r>
        <w:rPr>
          <w:noProof/>
        </w:rPr>
        <w:t>2</w:t>
      </w:r>
      <w:r>
        <w:fldChar w:fldCharType="end"/>
      </w:r>
      <w:r>
        <w:t>: Míra dostupnosti úkonů klienta v jednotlivých obslužných kanálech dle ohlašovatelů</w:t>
      </w:r>
    </w:p>
    <w:p w:rsidR="00E85B91" w:rsidRDefault="0007561D">
      <w:pPr>
        <w:pStyle w:val="Zkladntext"/>
      </w:pPr>
      <w:r>
        <w:rPr>
          <w:noProof/>
          <w:lang w:eastAsia="cs-CZ"/>
        </w:rPr>
        <w:drawing>
          <wp:inline distT="0" distB="0" distL="0" distR="0" wp14:anchorId="52BBA13B" wp14:editId="03252C07">
            <wp:extent cx="5969000" cy="5969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analyza_files/figure-docx/unnamed-chunk-7-1.png"/>
                    <pic:cNvPicPr>
                      <a:picLocks noChangeAspect="1" noChangeArrowheads="1"/>
                    </pic:cNvPicPr>
                  </pic:nvPicPr>
                  <pic:blipFill>
                    <a:blip r:embed="rId13"/>
                    <a:stretch>
                      <a:fillRect/>
                    </a:stretch>
                  </pic:blipFill>
                  <pic:spPr bwMode="auto">
                    <a:xfrm>
                      <a:off x="0" y="0"/>
                      <a:ext cx="5969000" cy="5969000"/>
                    </a:xfrm>
                    <a:prstGeom prst="rect">
                      <a:avLst/>
                    </a:prstGeom>
                    <a:noFill/>
                    <a:ln w="9525">
                      <a:noFill/>
                      <a:headEnd/>
                      <a:tailEnd/>
                    </a:ln>
                  </pic:spPr>
                </pic:pic>
              </a:graphicData>
            </a:graphic>
          </wp:inline>
        </w:drawing>
      </w:r>
    </w:p>
    <w:p w:rsidR="00E85B91" w:rsidRDefault="0007561D">
      <w:pPr>
        <w:pStyle w:val="Zkladntext"/>
      </w:pPr>
      <w:r>
        <w:t>Z hlediska požadovaných tří digitálních kanálů (datová schránka, dokument opatřený uznávaným elektronickým podpisem zaslaný typicky mailem, samoobslužný portál; v grafu č. 2 vyznačeny modře) je pořadí ohlašovatelů s nejvyšším podílem úkonů realizovatelných těmito obslužnými kanály následovné (prvních pět sestupně): Úřad průmyslového vlastnictví, Český báňský úřad, Úřad pro ochranu hospodářské soutěže, Státní úřad pro jadernou bezpečnost, Ministerstvo kultury.</w:t>
      </w:r>
    </w:p>
    <w:p w:rsidR="00DD70D5" w:rsidRDefault="00DD70D5" w:rsidP="00DD70D5">
      <w:pPr>
        <w:pStyle w:val="Titulek"/>
        <w:keepNext/>
      </w:pPr>
      <w:r>
        <w:lastRenderedPageBreak/>
        <w:t xml:space="preserve">Graf </w:t>
      </w:r>
      <w:r>
        <w:fldChar w:fldCharType="begin"/>
      </w:r>
      <w:r>
        <w:instrText xml:space="preserve"> SEQ Graf \* ARABIC </w:instrText>
      </w:r>
      <w:r>
        <w:fldChar w:fldCharType="separate"/>
      </w:r>
      <w:r>
        <w:rPr>
          <w:noProof/>
        </w:rPr>
        <w:t>3</w:t>
      </w:r>
      <w:r>
        <w:fldChar w:fldCharType="end"/>
      </w:r>
      <w:r>
        <w:t>: Míra dostupnosti úkonů klienta pro jednotlivé ohlašovatele dle vybraných digitálních obslužných kanálů</w:t>
      </w:r>
    </w:p>
    <w:p w:rsidR="00E85B91" w:rsidRDefault="0007561D">
      <w:pPr>
        <w:pStyle w:val="Zkladntext"/>
      </w:pPr>
      <w:r>
        <w:rPr>
          <w:noProof/>
          <w:lang w:eastAsia="cs-CZ"/>
        </w:rPr>
        <w:drawing>
          <wp:inline distT="0" distB="0" distL="0" distR="0" wp14:anchorId="4416C8FB" wp14:editId="3929271E">
            <wp:extent cx="5969000" cy="6821714"/>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analyza_files/figure-docx/unnamed-chunk-9-1.png"/>
                    <pic:cNvPicPr>
                      <a:picLocks noChangeAspect="1" noChangeArrowheads="1"/>
                    </pic:cNvPicPr>
                  </pic:nvPicPr>
                  <pic:blipFill>
                    <a:blip r:embed="rId14"/>
                    <a:stretch>
                      <a:fillRect/>
                    </a:stretch>
                  </pic:blipFill>
                  <pic:spPr bwMode="auto">
                    <a:xfrm>
                      <a:off x="0" y="0"/>
                      <a:ext cx="5969000" cy="6821714"/>
                    </a:xfrm>
                    <a:prstGeom prst="rect">
                      <a:avLst/>
                    </a:prstGeom>
                    <a:noFill/>
                    <a:ln w="9525">
                      <a:noFill/>
                      <a:headEnd/>
                      <a:tailEnd/>
                    </a:ln>
                  </pic:spPr>
                </pic:pic>
              </a:graphicData>
            </a:graphic>
          </wp:inline>
        </w:drawing>
      </w:r>
    </w:p>
    <w:p w:rsidR="00E85B91" w:rsidRDefault="0007561D">
      <w:pPr>
        <w:pStyle w:val="Zkladntext"/>
      </w:pPr>
      <w:r>
        <w:t>Pohled na jednotlivé digitální kanály ukazuje, že zatímco u korespondenčních digitálních kanálů je zastoupení poměrně vyrovnané, v případě kontaktních míst i samoobslužného portálů vyniká jen několik gestorů.</w:t>
      </w:r>
    </w:p>
    <w:tbl>
      <w:tblPr>
        <w:tblStyle w:val="Mkatabulky"/>
        <w:tblW w:w="0" w:type="auto"/>
        <w:tblLook w:val="04A0" w:firstRow="1" w:lastRow="0" w:firstColumn="1" w:lastColumn="0" w:noHBand="0" w:noVBand="1"/>
      </w:tblPr>
      <w:tblGrid>
        <w:gridCol w:w="9546"/>
      </w:tblGrid>
      <w:tr w:rsidR="00DD70D5" w:rsidRPr="00DD70D5" w:rsidTr="00DD70D5">
        <w:tc>
          <w:tcPr>
            <w:tcW w:w="9546" w:type="dxa"/>
          </w:tcPr>
          <w:p w:rsidR="00DD70D5" w:rsidRPr="00DD70D5" w:rsidRDefault="00DD70D5" w:rsidP="00DB537A">
            <w:pPr>
              <w:pStyle w:val="Textvbloku"/>
            </w:pPr>
            <w:r w:rsidRPr="00DD70D5">
              <w:rPr>
                <w:i/>
                <w:iCs/>
              </w:rPr>
              <w:t>Metodická poznámka</w:t>
            </w:r>
            <w:r w:rsidRPr="00DD70D5">
              <w:br/>
              <w:t xml:space="preserve">Dle </w:t>
            </w:r>
            <w:hyperlink r:id="rId15">
              <w:r w:rsidRPr="00DB537A">
                <w:rPr>
                  <w:rStyle w:val="Hypertextovodkaz"/>
                  <w:i w:val="0"/>
                </w:rPr>
                <w:t>příručky pro plánování digitalizace služeb VS</w:t>
              </w:r>
            </w:hyperlink>
            <w:r w:rsidRPr="00DD70D5">
              <w:t xml:space="preserve"> analýza pro tuto kapitolu vychází ze:</w:t>
            </w:r>
            <w:r w:rsidRPr="00DD70D5">
              <w:br/>
            </w:r>
            <w:r w:rsidRPr="00DD70D5">
              <w:lastRenderedPageBreak/>
              <w:t>- schválených agend (referenční data),</w:t>
            </w:r>
            <w:r w:rsidRPr="00DD70D5">
              <w:br/>
              <w:t>- úkonů vykonávaných klientem (pomíjí úkony vykonávané OVM), nejsou vypuštěny úkony nevhodné k digitalizaci.</w:t>
            </w:r>
            <w:r w:rsidRPr="00DD70D5">
              <w:br/>
            </w:r>
            <w:r w:rsidRPr="00DD70D5">
              <w:rPr>
                <w:b/>
              </w:rPr>
              <w:t>Údaje uvedené v kapitole jsou podmíněné úplností katalogu služeb.</w:t>
            </w:r>
          </w:p>
        </w:tc>
      </w:tr>
    </w:tbl>
    <w:p w:rsidR="00E85B91" w:rsidRDefault="0007561D">
      <w:pPr>
        <w:pStyle w:val="Nadpis2"/>
      </w:pPr>
      <w:bookmarkStart w:id="13" w:name="_Toc81488944"/>
      <w:bookmarkStart w:id="14" w:name="aktualizovaný-harmonogram-digitalizace"/>
      <w:bookmarkEnd w:id="11"/>
      <w:r>
        <w:lastRenderedPageBreak/>
        <w:t>Aktualizovaný harmonogram digitalizace</w:t>
      </w:r>
      <w:bookmarkEnd w:id="13"/>
    </w:p>
    <w:p w:rsidR="00E85B91" w:rsidRDefault="0007561D">
      <w:pPr>
        <w:pStyle w:val="FirstParagraph"/>
      </w:pPr>
      <w:r>
        <w:t>Služby evidované v Katalogu služeb veřejné správy a jejich úkony charakteru podání (vykonávané klientem) mají být povinně dostupné v digitálních kanálech:</w:t>
      </w:r>
    </w:p>
    <w:p w:rsidR="00E85B91" w:rsidRDefault="0007561D">
      <w:pPr>
        <w:pStyle w:val="Compact"/>
        <w:numPr>
          <w:ilvl w:val="0"/>
          <w:numId w:val="13"/>
        </w:numPr>
      </w:pPr>
      <w:r>
        <w:t>datová schránka,</w:t>
      </w:r>
    </w:p>
    <w:p w:rsidR="00E85B91" w:rsidRDefault="0007561D">
      <w:pPr>
        <w:pStyle w:val="Compact"/>
        <w:numPr>
          <w:ilvl w:val="0"/>
          <w:numId w:val="13"/>
        </w:numPr>
      </w:pPr>
      <w:r>
        <w:t>dokument opatřený uznávaným elektronickým podpisem zaslaný typicky mailem,</w:t>
      </w:r>
    </w:p>
    <w:p w:rsidR="00E85B91" w:rsidRDefault="0007561D">
      <w:pPr>
        <w:pStyle w:val="Compact"/>
        <w:numPr>
          <w:ilvl w:val="0"/>
          <w:numId w:val="13"/>
        </w:numPr>
      </w:pPr>
      <w:r>
        <w:t>samoobslužný portál.</w:t>
      </w:r>
    </w:p>
    <w:p w:rsidR="00E85B91" w:rsidRDefault="0007561D">
      <w:pPr>
        <w:pStyle w:val="FirstParagraph"/>
      </w:pPr>
      <w:r>
        <w:t>Pokud úkon vykonávaný klientem dnes tuto digitální dostupnost nemá, je nutné ji naplánovat, nebo vysvětlit, proč ideální dostupnost nesplňuje.</w:t>
      </w:r>
    </w:p>
    <w:p w:rsidR="00E85B91" w:rsidRDefault="0007561D">
      <w:pPr>
        <w:pStyle w:val="Zkladntext"/>
      </w:pPr>
      <w:r>
        <w:t>Aktualizovaný harmonogram digitalizace zahrnuje 3066 úkonů, týká se 161 agend. Úkonů, které zatím digitální nejsou vůbec, je v plánu jen 9 %. Je tedy evidentní, že aktualizovaný harmonogram digitalizace obsahuje především chybějící digitální kanály, zaváděné za účelem dosažení tzv. ideální dostupnosti digitálních úkonů (tj. dostupnosti všemi třemi výše jmenovanými digitálními obslužnými kanály).</w:t>
      </w:r>
    </w:p>
    <w:p w:rsidR="00E85B91" w:rsidRDefault="0007561D">
      <w:pPr>
        <w:pStyle w:val="Zkladntext"/>
      </w:pPr>
      <w:r>
        <w:t>Protože ohlašovatelé některých agend nevytvořili plán, ani neuvedli vysvětlení, proč v jejich agendě nemůže být naplánována ideální dostupnost úkonů, přistoupil předkladatel materiálu v těchto agendách k vytvoření plánu.</w:t>
      </w:r>
      <w:r>
        <w:rPr>
          <w:rStyle w:val="Znakapoznpodarou"/>
        </w:rPr>
        <w:footnoteReference w:id="3"/>
      </w:r>
      <w:r>
        <w:t xml:space="preserve"> V harmonogramu jsou tyto úkony označeny (je vyznačeno, že autorem není ohlašovatel, ale předkladatel materiálu). Podíl předkladatelem vytvořeného plánu je 49 %.</w:t>
      </w:r>
    </w:p>
    <w:p w:rsidR="00E85B91" w:rsidRDefault="0007561D">
      <w:pPr>
        <w:pStyle w:val="Zkladntext"/>
      </w:pPr>
      <w:r>
        <w:t>Celkem 61 úkonů (napříč 20 agendami) mělo v podkladech pro harmonogram digitalizace chybu, takže nebyly použity. Jejich gestoři byli upozorněni a usnesení vlády jim ukládá chybu odstranit.</w:t>
      </w:r>
      <w:r>
        <w:rPr>
          <w:rStyle w:val="Znakapoznpodarou"/>
        </w:rPr>
        <w:footnoteReference w:id="4"/>
      </w:r>
      <w:r>
        <w:t xml:space="preserve"> Přehled těchto úkonů je přílohou aktualizovaného harmonogramu.</w:t>
      </w:r>
    </w:p>
    <w:p w:rsidR="00DD70D5" w:rsidRDefault="00DD70D5" w:rsidP="00DD70D5">
      <w:pPr>
        <w:pStyle w:val="Titulek"/>
        <w:keepNext/>
      </w:pPr>
      <w:r>
        <w:t xml:space="preserve">Tabulka </w:t>
      </w:r>
      <w:r>
        <w:fldChar w:fldCharType="begin"/>
      </w:r>
      <w:r>
        <w:instrText xml:space="preserve"> SEQ Tabulka \* ARABIC </w:instrText>
      </w:r>
      <w:r>
        <w:fldChar w:fldCharType="separate"/>
      </w:r>
      <w:r>
        <w:rPr>
          <w:noProof/>
        </w:rPr>
        <w:t>4</w:t>
      </w:r>
      <w:r>
        <w:fldChar w:fldCharType="end"/>
      </w:r>
      <w:r>
        <w:t>: Zastoupení obslužných kanálů v plánu digitalizace</w:t>
      </w:r>
    </w:p>
    <w:tbl>
      <w:tblPr>
        <w:tblStyle w:val="Mkatabulky"/>
        <w:tblW w:w="5000" w:type="pct"/>
        <w:tblLook w:val="0020" w:firstRow="1" w:lastRow="0" w:firstColumn="0" w:lastColumn="0" w:noHBand="0" w:noVBand="0"/>
      </w:tblPr>
      <w:tblGrid>
        <w:gridCol w:w="8709"/>
        <w:gridCol w:w="913"/>
      </w:tblGrid>
      <w:tr w:rsidR="00E85B91" w:rsidRPr="00DD70D5" w:rsidTr="00DD70D5">
        <w:tc>
          <w:tcPr>
            <w:tcW w:w="0" w:type="auto"/>
          </w:tcPr>
          <w:p w:rsidR="00E85B91" w:rsidRPr="00DD70D5" w:rsidRDefault="0007561D">
            <w:pPr>
              <w:pStyle w:val="Compact"/>
              <w:jc w:val="left"/>
              <w:rPr>
                <w:rFonts w:asciiTheme="majorHAnsi" w:hAnsiTheme="majorHAnsi" w:cstheme="majorHAnsi"/>
                <w:b/>
                <w:sz w:val="22"/>
                <w:szCs w:val="22"/>
              </w:rPr>
            </w:pPr>
            <w:r w:rsidRPr="00DD70D5">
              <w:rPr>
                <w:rFonts w:asciiTheme="majorHAnsi" w:hAnsiTheme="majorHAnsi" w:cstheme="majorHAnsi"/>
                <w:b/>
                <w:sz w:val="22"/>
                <w:szCs w:val="22"/>
              </w:rPr>
              <w:t>obslužný kanál</w:t>
            </w:r>
          </w:p>
        </w:tc>
        <w:tc>
          <w:tcPr>
            <w:tcW w:w="0" w:type="auto"/>
          </w:tcPr>
          <w:p w:rsidR="00E85B91" w:rsidRPr="00DD70D5" w:rsidRDefault="0007561D">
            <w:pPr>
              <w:pStyle w:val="Compact"/>
              <w:jc w:val="right"/>
              <w:rPr>
                <w:rFonts w:asciiTheme="majorHAnsi" w:hAnsiTheme="majorHAnsi" w:cstheme="majorHAnsi"/>
                <w:b/>
                <w:sz w:val="22"/>
                <w:szCs w:val="22"/>
              </w:rPr>
            </w:pPr>
            <w:r w:rsidRPr="00DD70D5">
              <w:rPr>
                <w:rFonts w:asciiTheme="majorHAnsi" w:hAnsiTheme="majorHAnsi" w:cstheme="majorHAnsi"/>
                <w:b/>
                <w:sz w:val="22"/>
                <w:szCs w:val="22"/>
              </w:rPr>
              <w:t>počet</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samoobslužný portál (AIS)</w:t>
            </w:r>
          </w:p>
        </w:tc>
        <w:tc>
          <w:tcPr>
            <w:tcW w:w="0" w:type="auto"/>
          </w:tcPr>
          <w:p w:rsidR="00E85B91" w:rsidRPr="00DD70D5" w:rsidRDefault="0007561D">
            <w:pPr>
              <w:pStyle w:val="Compact"/>
              <w:jc w:val="right"/>
              <w:rPr>
                <w:rFonts w:asciiTheme="majorHAnsi" w:hAnsiTheme="majorHAnsi" w:cstheme="majorHAnsi"/>
                <w:sz w:val="22"/>
                <w:szCs w:val="22"/>
              </w:rPr>
            </w:pPr>
            <w:r w:rsidRPr="00DD70D5">
              <w:rPr>
                <w:rFonts w:asciiTheme="majorHAnsi" w:hAnsiTheme="majorHAnsi" w:cstheme="majorHAnsi"/>
                <w:sz w:val="22"/>
                <w:szCs w:val="22"/>
              </w:rPr>
              <w:t>2296</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dokument opatřený uznávaným elektronickým podpisem</w:t>
            </w:r>
          </w:p>
        </w:tc>
        <w:tc>
          <w:tcPr>
            <w:tcW w:w="0" w:type="auto"/>
          </w:tcPr>
          <w:p w:rsidR="00E85B91" w:rsidRPr="00DD70D5" w:rsidRDefault="0007561D">
            <w:pPr>
              <w:pStyle w:val="Compact"/>
              <w:jc w:val="right"/>
              <w:rPr>
                <w:rFonts w:asciiTheme="majorHAnsi" w:hAnsiTheme="majorHAnsi" w:cstheme="majorHAnsi"/>
                <w:sz w:val="22"/>
                <w:szCs w:val="22"/>
              </w:rPr>
            </w:pPr>
            <w:r w:rsidRPr="00DD70D5">
              <w:rPr>
                <w:rFonts w:asciiTheme="majorHAnsi" w:hAnsiTheme="majorHAnsi" w:cstheme="majorHAnsi"/>
                <w:sz w:val="22"/>
                <w:szCs w:val="22"/>
              </w:rPr>
              <w:t>981</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datová schránka</w:t>
            </w:r>
          </w:p>
        </w:tc>
        <w:tc>
          <w:tcPr>
            <w:tcW w:w="0" w:type="auto"/>
          </w:tcPr>
          <w:p w:rsidR="00E85B91" w:rsidRPr="00DD70D5" w:rsidRDefault="0007561D">
            <w:pPr>
              <w:pStyle w:val="Compact"/>
              <w:jc w:val="right"/>
              <w:rPr>
                <w:rFonts w:asciiTheme="majorHAnsi" w:hAnsiTheme="majorHAnsi" w:cstheme="majorHAnsi"/>
                <w:sz w:val="22"/>
                <w:szCs w:val="22"/>
              </w:rPr>
            </w:pPr>
            <w:r w:rsidRPr="00DD70D5">
              <w:rPr>
                <w:rFonts w:asciiTheme="majorHAnsi" w:hAnsiTheme="majorHAnsi" w:cstheme="majorHAnsi"/>
                <w:sz w:val="22"/>
                <w:szCs w:val="22"/>
              </w:rPr>
              <w:t>321</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ostatní formy dálkového přístupu (např. veřejn</w:t>
            </w:r>
            <w:r w:rsidR="001F469F">
              <w:rPr>
                <w:rFonts w:asciiTheme="majorHAnsi" w:hAnsiTheme="majorHAnsi" w:cstheme="majorHAnsi"/>
                <w:sz w:val="22"/>
                <w:szCs w:val="22"/>
              </w:rPr>
              <w:t>á datová síť, telefonicky atd.)</w:t>
            </w:r>
          </w:p>
        </w:tc>
        <w:tc>
          <w:tcPr>
            <w:tcW w:w="0" w:type="auto"/>
          </w:tcPr>
          <w:p w:rsidR="00E85B91" w:rsidRPr="00DD70D5" w:rsidRDefault="0007561D">
            <w:pPr>
              <w:pStyle w:val="Compact"/>
              <w:jc w:val="right"/>
              <w:rPr>
                <w:rFonts w:asciiTheme="majorHAnsi" w:hAnsiTheme="majorHAnsi" w:cstheme="majorHAnsi"/>
                <w:sz w:val="22"/>
                <w:szCs w:val="22"/>
              </w:rPr>
            </w:pPr>
            <w:r w:rsidRPr="00DD70D5">
              <w:rPr>
                <w:rFonts w:asciiTheme="majorHAnsi" w:hAnsiTheme="majorHAnsi" w:cstheme="majorHAnsi"/>
                <w:sz w:val="22"/>
                <w:szCs w:val="22"/>
              </w:rPr>
              <w:t>11</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Czech POINT</w:t>
            </w:r>
          </w:p>
        </w:tc>
        <w:tc>
          <w:tcPr>
            <w:tcW w:w="0" w:type="auto"/>
          </w:tcPr>
          <w:p w:rsidR="00E85B91" w:rsidRPr="00DD70D5" w:rsidRDefault="0007561D">
            <w:pPr>
              <w:pStyle w:val="Compact"/>
              <w:jc w:val="right"/>
              <w:rPr>
                <w:rFonts w:asciiTheme="majorHAnsi" w:hAnsiTheme="majorHAnsi" w:cstheme="majorHAnsi"/>
                <w:sz w:val="22"/>
                <w:szCs w:val="22"/>
              </w:rPr>
            </w:pPr>
            <w:r w:rsidRPr="00DD70D5">
              <w:rPr>
                <w:rFonts w:asciiTheme="majorHAnsi" w:hAnsiTheme="majorHAnsi" w:cstheme="majorHAnsi"/>
                <w:sz w:val="22"/>
                <w:szCs w:val="22"/>
              </w:rPr>
              <w:t>9</w:t>
            </w:r>
          </w:p>
        </w:tc>
      </w:tr>
      <w:tr w:rsidR="00E85B91" w:rsidRPr="00DD70D5" w:rsidTr="00DD70D5">
        <w:tc>
          <w:tcPr>
            <w:tcW w:w="0" w:type="auto"/>
          </w:tcPr>
          <w:p w:rsidR="00E85B91" w:rsidRPr="00DD70D5" w:rsidRDefault="0007561D">
            <w:pPr>
              <w:pStyle w:val="Compact"/>
              <w:jc w:val="left"/>
              <w:rPr>
                <w:rFonts w:asciiTheme="majorHAnsi" w:hAnsiTheme="majorHAnsi" w:cstheme="majorHAnsi"/>
                <w:sz w:val="22"/>
                <w:szCs w:val="22"/>
              </w:rPr>
            </w:pPr>
            <w:r w:rsidRPr="00DD70D5">
              <w:rPr>
                <w:rFonts w:asciiTheme="majorHAnsi" w:hAnsiTheme="majorHAnsi" w:cstheme="majorHAnsi"/>
                <w:sz w:val="22"/>
                <w:szCs w:val="22"/>
              </w:rPr>
              <w:t>jiný způsob, pokud tak stanoví právní předpis</w:t>
            </w:r>
          </w:p>
        </w:tc>
        <w:tc>
          <w:tcPr>
            <w:tcW w:w="0" w:type="auto"/>
          </w:tcPr>
          <w:p w:rsidR="00E85B91" w:rsidRPr="00DD70D5" w:rsidRDefault="0007561D">
            <w:pPr>
              <w:pStyle w:val="Compact"/>
              <w:jc w:val="right"/>
              <w:rPr>
                <w:rFonts w:asciiTheme="majorHAnsi" w:hAnsiTheme="majorHAnsi" w:cstheme="majorHAnsi"/>
                <w:sz w:val="22"/>
                <w:szCs w:val="22"/>
              </w:rPr>
            </w:pPr>
            <w:r w:rsidRPr="00DD70D5">
              <w:rPr>
                <w:rFonts w:asciiTheme="majorHAnsi" w:hAnsiTheme="majorHAnsi" w:cstheme="majorHAnsi"/>
                <w:sz w:val="22"/>
                <w:szCs w:val="22"/>
              </w:rPr>
              <w:t>1</w:t>
            </w:r>
          </w:p>
        </w:tc>
      </w:tr>
    </w:tbl>
    <w:p w:rsidR="00E85B91" w:rsidRDefault="0007561D">
      <w:pPr>
        <w:pStyle w:val="Zkladntext"/>
      </w:pPr>
      <w:r>
        <w:t xml:space="preserve">Výše uvedenou informaci o počtu úkonů plánovaných k digitalizaci doplňuje na níže uvedeném grafu také informace o plánovaném roku spuštění nového digitálního </w:t>
      </w:r>
      <w:r>
        <w:lastRenderedPageBreak/>
        <w:t>obslužného kanálu. Oproti původnímu harmonogramu došlo k zásadnímu nárůstu podílu úkonů plánovaných v samoobslužném portálu, který nově představuje dominantní způsob digitalizace v plánu.</w:t>
      </w:r>
    </w:p>
    <w:p w:rsidR="00DD70D5" w:rsidRDefault="00DD70D5" w:rsidP="00DD70D5">
      <w:pPr>
        <w:pStyle w:val="Titulek"/>
        <w:keepNext/>
      </w:pPr>
      <w:r>
        <w:t xml:space="preserve">Graf </w:t>
      </w:r>
      <w:r>
        <w:fldChar w:fldCharType="begin"/>
      </w:r>
      <w:r>
        <w:instrText xml:space="preserve"> SEQ Graf \* ARABIC </w:instrText>
      </w:r>
      <w:r>
        <w:fldChar w:fldCharType="separate"/>
      </w:r>
      <w:r>
        <w:rPr>
          <w:noProof/>
        </w:rPr>
        <w:t>4</w:t>
      </w:r>
      <w:r>
        <w:fldChar w:fldCharType="end"/>
      </w:r>
      <w:r>
        <w:t xml:space="preserve">: </w:t>
      </w:r>
      <w:r w:rsidRPr="00F86840">
        <w:t>Rozdělení plánovaných obslužných kanálů dle roku spuštění</w:t>
      </w:r>
    </w:p>
    <w:p w:rsidR="00E85B91" w:rsidRDefault="0007561D">
      <w:pPr>
        <w:pStyle w:val="Zkladntext"/>
      </w:pPr>
      <w:r>
        <w:rPr>
          <w:noProof/>
          <w:lang w:eastAsia="cs-CZ"/>
        </w:rPr>
        <w:drawing>
          <wp:inline distT="0" distB="0" distL="0" distR="0" wp14:anchorId="7ACE83E2" wp14:editId="5FA67B12">
            <wp:extent cx="5969000" cy="341085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analyza_files/figure-docx/unnamed-chunk-12-1.png"/>
                    <pic:cNvPicPr>
                      <a:picLocks noChangeAspect="1" noChangeArrowheads="1"/>
                    </pic:cNvPicPr>
                  </pic:nvPicPr>
                  <pic:blipFill>
                    <a:blip r:embed="rId16"/>
                    <a:stretch>
                      <a:fillRect/>
                    </a:stretch>
                  </pic:blipFill>
                  <pic:spPr bwMode="auto">
                    <a:xfrm>
                      <a:off x="0" y="0"/>
                      <a:ext cx="5969000" cy="3410857"/>
                    </a:xfrm>
                    <a:prstGeom prst="rect">
                      <a:avLst/>
                    </a:prstGeom>
                    <a:noFill/>
                    <a:ln w="9525">
                      <a:noFill/>
                      <a:headEnd/>
                      <a:tailEnd/>
                    </a:ln>
                  </pic:spPr>
                </pic:pic>
              </a:graphicData>
            </a:graphic>
          </wp:inline>
        </w:drawing>
      </w:r>
    </w:p>
    <w:p w:rsidR="00E85B91" w:rsidRDefault="0007561D">
      <w:pPr>
        <w:pStyle w:val="Zkladntext"/>
      </w:pPr>
      <w:r>
        <w:t>Přehled, kdy a jak jednotlivé rezorty plánují digitalizovat, ukazuje následující tabulka.</w:t>
      </w:r>
    </w:p>
    <w:p w:rsidR="00DD70D5" w:rsidRDefault="00DD70D5" w:rsidP="00DD70D5">
      <w:pPr>
        <w:pStyle w:val="Titulek"/>
        <w:keepNext/>
      </w:pPr>
      <w:r>
        <w:t xml:space="preserve">Tabulka </w:t>
      </w:r>
      <w:r>
        <w:fldChar w:fldCharType="begin"/>
      </w:r>
      <w:r>
        <w:instrText xml:space="preserve"> SEQ Tabulka \* ARABIC </w:instrText>
      </w:r>
      <w:r>
        <w:fldChar w:fldCharType="separate"/>
      </w:r>
      <w:r>
        <w:rPr>
          <w:noProof/>
        </w:rPr>
        <w:t>5</w:t>
      </w:r>
      <w:r>
        <w:fldChar w:fldCharType="end"/>
      </w:r>
      <w:r>
        <w:t>: Plán digitalizace dle jednotlivých rezortů, obslužných kanálů a let, kdy budou tyto obslužné kanály spuštěny</w:t>
      </w:r>
    </w:p>
    <w:tbl>
      <w:tblPr>
        <w:tblW w:w="8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6643"/>
        <w:gridCol w:w="1490"/>
      </w:tblGrid>
      <w:tr w:rsidR="00DD70D5" w:rsidRPr="00DD70D5" w:rsidTr="00DD70D5">
        <w:trPr>
          <w:trHeight w:val="321"/>
          <w:tblHeader/>
        </w:trPr>
        <w:tc>
          <w:tcPr>
            <w:tcW w:w="587"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sz w:val="22"/>
                <w:szCs w:val="22"/>
                <w:lang w:val="cs-CZ" w:eastAsia="cs-CZ"/>
              </w:rPr>
            </w:pPr>
          </w:p>
        </w:tc>
        <w:tc>
          <w:tcPr>
            <w:tcW w:w="6643" w:type="dxa"/>
            <w:shd w:val="clear" w:color="auto" w:fill="auto"/>
            <w:vAlign w:val="center"/>
            <w:hideMark/>
          </w:tcPr>
          <w:p w:rsidR="00DD70D5" w:rsidRPr="00DD70D5" w:rsidRDefault="00DD70D5" w:rsidP="00DD70D5">
            <w:pPr>
              <w:spacing w:after="0"/>
              <w:jc w:val="center"/>
              <w:rPr>
                <w:rFonts w:asciiTheme="majorHAnsi" w:eastAsia="Times New Roman" w:hAnsiTheme="majorHAnsi" w:cstheme="majorHAnsi"/>
                <w:b/>
                <w:bCs/>
                <w:color w:val="000000"/>
                <w:sz w:val="22"/>
                <w:szCs w:val="22"/>
                <w:lang w:val="cs-CZ" w:eastAsia="cs-CZ"/>
              </w:rPr>
            </w:pPr>
            <w:r w:rsidRPr="00DD70D5">
              <w:rPr>
                <w:rFonts w:asciiTheme="majorHAnsi" w:eastAsia="Times New Roman" w:hAnsiTheme="majorHAnsi" w:cstheme="majorHAnsi"/>
                <w:b/>
                <w:bCs/>
                <w:color w:val="000000"/>
                <w:sz w:val="22"/>
                <w:szCs w:val="22"/>
                <w:lang w:val="cs-CZ" w:eastAsia="cs-CZ"/>
              </w:rPr>
              <w:t>způsob digitalizace (obslužný kanál)</w:t>
            </w:r>
          </w:p>
        </w:tc>
        <w:tc>
          <w:tcPr>
            <w:tcW w:w="1490" w:type="dxa"/>
            <w:shd w:val="clear" w:color="auto" w:fill="auto"/>
            <w:vAlign w:val="center"/>
            <w:hideMark/>
          </w:tcPr>
          <w:p w:rsidR="00DD70D5" w:rsidRPr="00DD70D5" w:rsidRDefault="00DD70D5" w:rsidP="00DD70D5">
            <w:pPr>
              <w:spacing w:after="0"/>
              <w:jc w:val="center"/>
              <w:rPr>
                <w:rFonts w:asciiTheme="majorHAnsi" w:eastAsia="Times New Roman" w:hAnsiTheme="majorHAnsi" w:cstheme="majorHAnsi"/>
                <w:b/>
                <w:bCs/>
                <w:color w:val="000000"/>
                <w:sz w:val="22"/>
                <w:szCs w:val="22"/>
                <w:lang w:val="cs-CZ" w:eastAsia="cs-CZ"/>
              </w:rPr>
            </w:pPr>
            <w:r w:rsidRPr="00DD70D5">
              <w:rPr>
                <w:rFonts w:asciiTheme="majorHAnsi" w:eastAsia="Times New Roman" w:hAnsiTheme="majorHAnsi" w:cstheme="majorHAnsi"/>
                <w:b/>
                <w:bCs/>
                <w:color w:val="000000"/>
                <w:sz w:val="22"/>
                <w:szCs w:val="22"/>
                <w:lang w:val="cs-CZ" w:eastAsia="cs-CZ"/>
              </w:rPr>
              <w:t>počet úkonů</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obrany</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18</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průmyslu a obchodu</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18</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ostatní formy dálkového přístupu (např. veřejn</w:t>
            </w:r>
            <w:r>
              <w:rPr>
                <w:rFonts w:asciiTheme="majorHAnsi" w:eastAsia="Times New Roman" w:hAnsiTheme="majorHAnsi" w:cstheme="majorHAnsi"/>
                <w:color w:val="000000"/>
                <w:sz w:val="22"/>
                <w:szCs w:val="22"/>
                <w:lang w:val="cs-CZ" w:eastAsia="cs-CZ"/>
              </w:rPr>
              <w:t>á datová síť, telefonicky atd.)</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9</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49</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lastRenderedPageBreak/>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233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ostatní formy dálkového přístupu (např. veřejn</w:t>
            </w:r>
            <w:r>
              <w:rPr>
                <w:rFonts w:asciiTheme="majorHAnsi" w:eastAsia="Times New Roman" w:hAnsiTheme="majorHAnsi" w:cstheme="majorHAnsi"/>
                <w:color w:val="000000"/>
                <w:sz w:val="22"/>
                <w:szCs w:val="22"/>
                <w:lang w:val="cs-CZ" w:eastAsia="cs-CZ"/>
              </w:rPr>
              <w:t>á datová síť, telefonicky atd.)</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114</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vnitra</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114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113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53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66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5</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jiný způsob, pokud tak stanoví právní předpis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8</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157</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zemědělství</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9</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77</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8</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ostatní formy dálkového přístupu (např. veřejn</w:t>
            </w:r>
            <w:r>
              <w:rPr>
                <w:rFonts w:asciiTheme="majorHAnsi" w:eastAsia="Times New Roman" w:hAnsiTheme="majorHAnsi" w:cstheme="majorHAnsi"/>
                <w:color w:val="000000"/>
                <w:sz w:val="22"/>
                <w:szCs w:val="22"/>
                <w:lang w:val="cs-CZ" w:eastAsia="cs-CZ"/>
              </w:rPr>
              <w:t>á datová síť, telefonicky atd.)</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184</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životního prostředí</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9</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2021</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ostatní formy dálkového přístupu (např. veřejn</w:t>
            </w:r>
            <w:r>
              <w:rPr>
                <w:rFonts w:asciiTheme="majorHAnsi" w:eastAsia="Times New Roman" w:hAnsiTheme="majorHAnsi" w:cstheme="majorHAnsi"/>
                <w:color w:val="000000"/>
                <w:sz w:val="22"/>
                <w:szCs w:val="22"/>
                <w:lang w:val="cs-CZ" w:eastAsia="cs-CZ"/>
              </w:rPr>
              <w:t>á datová síť, telefonicky atd.)</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lastRenderedPageBreak/>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10</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68</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ostatní formy dálkového přístupu (např. veřejn</w:t>
            </w:r>
            <w:r>
              <w:rPr>
                <w:rFonts w:asciiTheme="majorHAnsi" w:eastAsia="Times New Roman" w:hAnsiTheme="majorHAnsi" w:cstheme="majorHAnsi"/>
                <w:color w:val="000000"/>
                <w:sz w:val="22"/>
                <w:szCs w:val="22"/>
                <w:lang w:val="cs-CZ" w:eastAsia="cs-CZ"/>
              </w:rPr>
              <w:t>á datová síť, telefonicky atd.)</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62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5</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156</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pro místní rozvoj</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9</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9</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60</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spravedlnosti</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2022</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Czech POINT</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233</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Český báňský úřad</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95</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Český úřad zeměměřický a katastrální</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10</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90</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dopravy</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lastRenderedPageBreak/>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91</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financí</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22</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kultury</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Czech POINT</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164</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práce a sociálních věcí</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29</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30</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29</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173</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školství, mládeže a tělovýchovy</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zahraničních věcí</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46</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15</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Ministerstvo zdravotnictví</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33</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178</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Rada pro rozhlasové a televizní vysílání</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6</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Správa státních hmotných rezerv</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Státní úřad pro jadernou bezpečnost</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2023</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lastRenderedPageBreak/>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40</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7</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Český telekomunikační úřad</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2024</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31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103</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Český statistický úřad</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Czech POINT</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datová schránka</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dokument opatřený uznávaným elektronickým podpisem</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46</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Národní bezpečnostní úřad</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23</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Národní úřad pro kybernetickou a informační bezpečnost</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4</w:t>
            </w:r>
          </w:p>
        </w:tc>
      </w:tr>
      <w:tr w:rsidR="00DD70D5" w:rsidRPr="00DD70D5" w:rsidTr="00DD70D5">
        <w:trPr>
          <w:trHeight w:val="321"/>
        </w:trPr>
        <w:tc>
          <w:tcPr>
            <w:tcW w:w="8720" w:type="dxa"/>
            <w:gridSpan w:val="3"/>
            <w:shd w:val="clear" w:color="000000" w:fill="D3DFEC"/>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Úřad pro ochranu hospodářské soutěže</w:t>
            </w:r>
          </w:p>
        </w:tc>
      </w:tr>
      <w:tr w:rsidR="00DD70D5" w:rsidRPr="00DD70D5" w:rsidTr="00DD70D5">
        <w:trPr>
          <w:trHeight w:val="321"/>
        </w:trPr>
        <w:tc>
          <w:tcPr>
            <w:tcW w:w="587"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2025</w:t>
            </w:r>
          </w:p>
        </w:tc>
        <w:tc>
          <w:tcPr>
            <w:tcW w:w="6643" w:type="dxa"/>
            <w:shd w:val="clear" w:color="auto" w:fill="auto"/>
            <w:vAlign w:val="center"/>
            <w:hideMark/>
          </w:tcPr>
          <w:p w:rsidR="00DD70D5" w:rsidRPr="00DD70D5" w:rsidRDefault="00DD70D5" w:rsidP="00DD70D5">
            <w:pPr>
              <w:spacing w:after="0"/>
              <w:jc w:val="lef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samoobslužný portál (AIS)</w:t>
            </w:r>
          </w:p>
        </w:tc>
        <w:tc>
          <w:tcPr>
            <w:tcW w:w="1490" w:type="dxa"/>
            <w:shd w:val="clear" w:color="auto" w:fill="auto"/>
            <w:vAlign w:val="center"/>
            <w:hideMark/>
          </w:tcPr>
          <w:p w:rsidR="00DD70D5" w:rsidRPr="00DD70D5" w:rsidRDefault="00DD70D5" w:rsidP="00DD70D5">
            <w:pPr>
              <w:spacing w:after="0"/>
              <w:jc w:val="right"/>
              <w:rPr>
                <w:rFonts w:asciiTheme="majorHAnsi" w:eastAsia="Times New Roman" w:hAnsiTheme="majorHAnsi" w:cstheme="majorHAnsi"/>
                <w:color w:val="000000"/>
                <w:sz w:val="22"/>
                <w:szCs w:val="22"/>
                <w:lang w:val="cs-CZ" w:eastAsia="cs-CZ"/>
              </w:rPr>
            </w:pPr>
            <w:r w:rsidRPr="00DD70D5">
              <w:rPr>
                <w:rFonts w:asciiTheme="majorHAnsi" w:eastAsia="Times New Roman" w:hAnsiTheme="majorHAnsi" w:cstheme="majorHAnsi"/>
                <w:color w:val="000000"/>
                <w:sz w:val="22"/>
                <w:szCs w:val="22"/>
                <w:lang w:val="cs-CZ" w:eastAsia="cs-CZ"/>
              </w:rPr>
              <w:t>14</w:t>
            </w:r>
          </w:p>
        </w:tc>
      </w:tr>
    </w:tbl>
    <w:p w:rsidR="00DD70D5" w:rsidRDefault="00DD70D5">
      <w:pPr>
        <w:pStyle w:val="Zkladntext"/>
      </w:pPr>
    </w:p>
    <w:tbl>
      <w:tblPr>
        <w:tblStyle w:val="Mkatabulky"/>
        <w:tblW w:w="0" w:type="auto"/>
        <w:tblLook w:val="04A0" w:firstRow="1" w:lastRow="0" w:firstColumn="1" w:lastColumn="0" w:noHBand="0" w:noVBand="1"/>
      </w:tblPr>
      <w:tblGrid>
        <w:gridCol w:w="9546"/>
      </w:tblGrid>
      <w:tr w:rsidR="00DD70D5" w:rsidRPr="00DD70D5" w:rsidTr="00DD70D5">
        <w:tc>
          <w:tcPr>
            <w:tcW w:w="9546" w:type="dxa"/>
          </w:tcPr>
          <w:p w:rsidR="00DD70D5" w:rsidRPr="00DD70D5" w:rsidRDefault="00DD70D5" w:rsidP="00DB537A">
            <w:pPr>
              <w:pStyle w:val="Textvbloku"/>
            </w:pPr>
            <w:r w:rsidRPr="00DD70D5">
              <w:rPr>
                <w:i/>
                <w:iCs/>
              </w:rPr>
              <w:t>Metodická poznámka</w:t>
            </w:r>
            <w:r w:rsidRPr="00DD70D5">
              <w:br/>
              <w:t>Analýza pro tuto kapitolu vychází ze:</w:t>
            </w:r>
            <w:r w:rsidRPr="00DD70D5">
              <w:br/>
              <w:t>- schválených agend (referenční data),</w:t>
            </w:r>
            <w:r w:rsidRPr="00DD70D5">
              <w:br/>
              <w:t>- služeb iniciovaných klientem i služeb vykonávaných z moci úřední,</w:t>
            </w:r>
            <w:r w:rsidRPr="00DD70D5">
              <w:br/>
              <w:t>- jsou vypuštěny údaje, u kterých to požadoval jiný gestor nebo obsahovaly chyby.</w:t>
            </w:r>
            <w:r w:rsidRPr="00DD70D5">
              <w:br/>
            </w:r>
            <w:r w:rsidRPr="00DD70D5">
              <w:rPr>
                <w:b/>
              </w:rPr>
              <w:t>Údaje uvedené v kapitole jsou podmíněné úplností katalogu služeb.</w:t>
            </w:r>
          </w:p>
        </w:tc>
      </w:tr>
    </w:tbl>
    <w:p w:rsidR="00E85B91" w:rsidRDefault="0007561D">
      <w:pPr>
        <w:pStyle w:val="Nadpis2"/>
      </w:pPr>
      <w:bookmarkStart w:id="15" w:name="_Toc81488945"/>
      <w:bookmarkStart w:id="16" w:name="úkony-nevhodné-k-digitalizaci"/>
      <w:bookmarkEnd w:id="14"/>
      <w:r>
        <w:t>Úkony nevhodné k digitalizaci</w:t>
      </w:r>
      <w:bookmarkEnd w:id="15"/>
    </w:p>
    <w:p w:rsidR="00E85B91" w:rsidRDefault="0007561D">
      <w:pPr>
        <w:pStyle w:val="FirstParagraph"/>
      </w:pPr>
      <w:r>
        <w:t>Žádná digitalizace není plánována u 1141 úkonů z celkem 126 agend a tyto úkony jsou označeny jako nevhodné k digitalizaci. Přehled úkonů je součástí aktualizovaného harmonogramu.</w:t>
      </w:r>
    </w:p>
    <w:p w:rsidR="00E85B91" w:rsidRDefault="0007561D">
      <w:pPr>
        <w:pStyle w:val="Zkladntext"/>
      </w:pPr>
      <w:r>
        <w:t>Pokud odůvodnění nevhodnosti úkonu k digitalizaci nebylo dostatečné, není součástí materiálu a je nutno jej doplnit.</w:t>
      </w:r>
      <w:r>
        <w:rPr>
          <w:rStyle w:val="Znakapoznpodarou"/>
        </w:rPr>
        <w:footnoteReference w:id="5"/>
      </w:r>
      <w:r>
        <w:t xml:space="preserve"> Přehled těchto úkonů je přílohou aktualizovaného harmonogramu.</w:t>
      </w:r>
    </w:p>
    <w:p w:rsidR="00DD70D5" w:rsidRDefault="00DD70D5" w:rsidP="00DD70D5">
      <w:pPr>
        <w:pStyle w:val="Titulek"/>
        <w:keepNext/>
      </w:pPr>
      <w:r>
        <w:lastRenderedPageBreak/>
        <w:t xml:space="preserve">Graf </w:t>
      </w:r>
      <w:r>
        <w:fldChar w:fldCharType="begin"/>
      </w:r>
      <w:r>
        <w:instrText xml:space="preserve"> SEQ Graf \* ARABIC </w:instrText>
      </w:r>
      <w:r>
        <w:fldChar w:fldCharType="separate"/>
      </w:r>
      <w:r>
        <w:rPr>
          <w:noProof/>
        </w:rPr>
        <w:t>5</w:t>
      </w:r>
      <w:r>
        <w:fldChar w:fldCharType="end"/>
      </w:r>
      <w:r>
        <w:t xml:space="preserve">: </w:t>
      </w:r>
      <w:r w:rsidRPr="004C0F68">
        <w:t>Rozdělení nedigitalizovaných</w:t>
      </w:r>
      <w:r>
        <w:t xml:space="preserve"> úkonů dle vykonavatele a fáze</w:t>
      </w:r>
    </w:p>
    <w:p w:rsidR="00E85B91" w:rsidRDefault="0007561D">
      <w:pPr>
        <w:pStyle w:val="Zkladntext"/>
      </w:pPr>
      <w:r>
        <w:rPr>
          <w:noProof/>
          <w:lang w:eastAsia="cs-CZ"/>
        </w:rPr>
        <w:drawing>
          <wp:inline distT="0" distB="0" distL="0" distR="0" wp14:anchorId="10CC590E" wp14:editId="0A8116B3">
            <wp:extent cx="5969000" cy="341085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analyza_files/figure-docx/unnamed-chunk-14-1.png"/>
                    <pic:cNvPicPr>
                      <a:picLocks noChangeAspect="1" noChangeArrowheads="1"/>
                    </pic:cNvPicPr>
                  </pic:nvPicPr>
                  <pic:blipFill>
                    <a:blip r:embed="rId17"/>
                    <a:stretch>
                      <a:fillRect/>
                    </a:stretch>
                  </pic:blipFill>
                  <pic:spPr bwMode="auto">
                    <a:xfrm>
                      <a:off x="0" y="0"/>
                      <a:ext cx="5969000" cy="3410857"/>
                    </a:xfrm>
                    <a:prstGeom prst="rect">
                      <a:avLst/>
                    </a:prstGeom>
                    <a:noFill/>
                    <a:ln w="9525">
                      <a:noFill/>
                      <a:headEnd/>
                      <a:tailEnd/>
                    </a:ln>
                  </pic:spPr>
                </pic:pic>
              </a:graphicData>
            </a:graphic>
          </wp:inline>
        </w:drawing>
      </w:r>
    </w:p>
    <w:p w:rsidR="00E85B91" w:rsidRDefault="0007561D">
      <w:pPr>
        <w:pStyle w:val="Zkladntext"/>
      </w:pPr>
      <w:r>
        <w:t>Velká část úkonů, které se nebudou digitalizovat, představuje poslední úkon, kdy OVM předává klientovi výstup služby. Je to dáno tím, že řada průkazů, osvědčení, dokladů atd. se vydává pouze ve fyzické podobě. Nejvíce úkonů ovšem patří do prostřední fáze, kde se odehrávají různé úkony z procesních právních předpisů jako je správní, kontrolní a jiné řády.</w:t>
      </w:r>
    </w:p>
    <w:tbl>
      <w:tblPr>
        <w:tblStyle w:val="Mkatabulky"/>
        <w:tblW w:w="0" w:type="auto"/>
        <w:tblLook w:val="04A0" w:firstRow="1" w:lastRow="0" w:firstColumn="1" w:lastColumn="0" w:noHBand="0" w:noVBand="1"/>
      </w:tblPr>
      <w:tblGrid>
        <w:gridCol w:w="9546"/>
      </w:tblGrid>
      <w:tr w:rsidR="00DD70D5" w:rsidRPr="00DD70D5" w:rsidTr="00DD70D5">
        <w:tc>
          <w:tcPr>
            <w:tcW w:w="9546" w:type="dxa"/>
          </w:tcPr>
          <w:p w:rsidR="00DD70D5" w:rsidRPr="00DD70D5" w:rsidRDefault="00DD70D5" w:rsidP="00DB537A">
            <w:pPr>
              <w:pStyle w:val="Textvbloku"/>
            </w:pPr>
            <w:r w:rsidRPr="00DD70D5">
              <w:rPr>
                <w:i/>
                <w:iCs/>
              </w:rPr>
              <w:t>Metodická poznámka</w:t>
            </w:r>
            <w:r w:rsidRPr="00DD70D5">
              <w:br/>
              <w:t>Analýza pro tuto kapitolu vychází ze:</w:t>
            </w:r>
            <w:r w:rsidRPr="00DD70D5">
              <w:br/>
              <w:t>- schválených agend (referenční data),</w:t>
            </w:r>
            <w:r w:rsidRPr="00DD70D5">
              <w:br/>
              <w:t>- služeb iniciovaných klientem i služeb vykonávaných z moci úřední,</w:t>
            </w:r>
            <w:r w:rsidRPr="00DD70D5">
              <w:br/>
              <w:t>- jsou vypuštěny údaje, u kterých to požadoval jiný gestor nebo obsahovaly chyby.</w:t>
            </w:r>
            <w:r w:rsidRPr="00DD70D5">
              <w:br/>
            </w:r>
            <w:r w:rsidRPr="00DD70D5">
              <w:rPr>
                <w:b/>
              </w:rPr>
              <w:t>Údaje uvedené v kapitole jsou podmíněné úplností katalogu služeb.</w:t>
            </w:r>
          </w:p>
        </w:tc>
      </w:tr>
    </w:tbl>
    <w:p w:rsidR="00E85B91" w:rsidRDefault="0007561D">
      <w:pPr>
        <w:pStyle w:val="Nadpis1"/>
      </w:pPr>
      <w:bookmarkStart w:id="17" w:name="_Toc81488946"/>
      <w:bookmarkStart w:id="18" w:name="další-postup"/>
      <w:bookmarkEnd w:id="3"/>
      <w:bookmarkEnd w:id="16"/>
      <w:r>
        <w:t>Další postup</w:t>
      </w:r>
      <w:bookmarkEnd w:id="17"/>
    </w:p>
    <w:p w:rsidR="00E85B91" w:rsidRDefault="0007561D">
      <w:pPr>
        <w:pStyle w:val="FirstParagraph"/>
      </w:pPr>
      <w:r>
        <w:t>Pokud je autorem vládou schváleného plánu digitalizace předkladatel, má ohlašovatel povinnost plán zanést do AIS RPP Působnostní. Stejně tak je nutné opravit nebo doplnit neúplné podklady – tj. vyřešit jednotlivé položky z přílohy č. 1. Termín na splnění je třicet dnů (usnesení II-2-c).</w:t>
      </w:r>
    </w:p>
    <w:p w:rsidR="00E85B91" w:rsidRDefault="0007561D">
      <w:pPr>
        <w:pStyle w:val="Zkladntext"/>
      </w:pPr>
      <w:r>
        <w:t>Jednotlivé rezorty mají postupovat dle vládou schváleného harmonogramu – tj. pokračovat v digitalizačních aktivitách nebo je zahájit (usnesení II-2-a).</w:t>
      </w:r>
    </w:p>
    <w:p w:rsidR="00E85B91" w:rsidRDefault="0007561D">
      <w:pPr>
        <w:pStyle w:val="Zkladntext"/>
      </w:pPr>
      <w:r>
        <w:t xml:space="preserve">Plán digitalizace za jednotlivé rezorty musí mít svůj obraz v Katalogu záměrů Digitálního Česka. V případě, že zatím takový záměr evidován není, je nutné záměr vytvořit. Pokud již </w:t>
      </w:r>
      <w:r>
        <w:lastRenderedPageBreak/>
        <w:t>záměr existuje, je nutné jej provázat s harmonogramem digitalizace – tj. specifikovat, jaké úkony a jakým způsobem budou digitalizovány (usnesení II-2-d).</w:t>
      </w:r>
    </w:p>
    <w:p w:rsidR="00E85B91" w:rsidRDefault="0007561D">
      <w:pPr>
        <w:pStyle w:val="Zkladntext"/>
      </w:pPr>
      <w:r>
        <w:t>Katalog záměrů Digitálního Česka je nutné alespoň dvakrát ročně aktualizovat. V rámci editace záměrů se také vyplňuje postup projektu (záměru) a finanční rozvaha, což je úkol uložený usnesením vlády č. 644 z 15. června 2020.</w:t>
      </w:r>
    </w:p>
    <w:p w:rsidR="00E85B91" w:rsidRDefault="0007561D">
      <w:pPr>
        <w:pStyle w:val="Zkladntext"/>
      </w:pPr>
      <w:r>
        <w:t>Pro příští aktualizaci materiálu (plánovanou na 15. listopadu 2022) se počítá s kontrolou postupu dle schváleného harmonogramu a dále s dořešením plánu digitalizace agend, které zatím neměly hotový katalog služeb veřejné správy, nebo nedodaly podklady pro harmonogram digitalizace, ani odůvodnění, proč nemohou pro úkony vykonávané klientem splňovat ideální dostupnost digitálních úkonů (usnesení II-2-b).</w:t>
      </w:r>
    </w:p>
    <w:p w:rsidR="00E85B91" w:rsidRDefault="0007561D">
      <w:pPr>
        <w:pStyle w:val="Zkladntext"/>
      </w:pPr>
      <w:r>
        <w:t>Údaje evidované o službách a úkonech představují (s výjimkou plánu digitalizace) referenční data, takže je povinností jednotlivých úřadů je udržovat aktuální a změny v dostatečném předstihu promítat do ohlášení agendy.</w:t>
      </w:r>
      <w:bookmarkEnd w:id="18"/>
    </w:p>
    <w:sectPr w:rsidR="00E85B91">
      <w:footerReference w:type="default" r:id="rId1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AE" w:rsidRDefault="00702DAE">
      <w:pPr>
        <w:spacing w:after="0"/>
      </w:pPr>
      <w:r>
        <w:separator/>
      </w:r>
    </w:p>
  </w:endnote>
  <w:endnote w:type="continuationSeparator" w:id="0">
    <w:p w:rsidR="00702DAE" w:rsidRDefault="00702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12155"/>
      <w:docPartObj>
        <w:docPartGallery w:val="Page Numbers (Bottom of Page)"/>
        <w:docPartUnique/>
      </w:docPartObj>
    </w:sdtPr>
    <w:sdtEndPr/>
    <w:sdtContent>
      <w:p w:rsidR="00DB537A" w:rsidRDefault="00DB537A">
        <w:pPr>
          <w:pStyle w:val="Zpat"/>
          <w:jc w:val="center"/>
        </w:pPr>
        <w:r>
          <w:fldChar w:fldCharType="begin"/>
        </w:r>
        <w:r>
          <w:instrText>PAGE   \* MERGEFORMAT</w:instrText>
        </w:r>
        <w:r>
          <w:fldChar w:fldCharType="separate"/>
        </w:r>
        <w:r w:rsidR="007B2A17" w:rsidRPr="007B2A17">
          <w:rPr>
            <w:noProof/>
            <w:lang w:val="cs-CZ"/>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AE" w:rsidRDefault="00702DAE">
      <w:r>
        <w:separator/>
      </w:r>
    </w:p>
  </w:footnote>
  <w:footnote w:type="continuationSeparator" w:id="0">
    <w:p w:rsidR="00702DAE" w:rsidRDefault="00702DAE">
      <w:r>
        <w:continuationSeparator/>
      </w:r>
    </w:p>
  </w:footnote>
  <w:footnote w:id="1">
    <w:p w:rsidR="00DB537A" w:rsidRDefault="00DB537A">
      <w:pPr>
        <w:pStyle w:val="Textpoznpodarou"/>
      </w:pPr>
      <w:r>
        <w:rPr>
          <w:rStyle w:val="Znakapoznpodarou"/>
        </w:rPr>
        <w:footnoteRef/>
      </w:r>
      <w:r>
        <w:t xml:space="preserve"> Zdrojový kód a data k analýze jsou dostupné na</w:t>
      </w:r>
      <w:r w:rsidRPr="00DB537A">
        <w:rPr>
          <w:i/>
        </w:rPr>
        <w:t xml:space="preserve">: </w:t>
      </w:r>
      <w:hyperlink r:id="rId1">
        <w:r w:rsidRPr="00DB537A">
          <w:rPr>
            <w:rStyle w:val="Hypertextovodkaz"/>
            <w:i w:val="0"/>
          </w:rPr>
          <w:t>https://code.gov.cz</w:t>
        </w:r>
      </w:hyperlink>
      <w:r>
        <w:t>.</w:t>
      </w:r>
    </w:p>
  </w:footnote>
  <w:footnote w:id="2">
    <w:p w:rsidR="00DB537A" w:rsidRPr="00DB537A" w:rsidRDefault="00DB537A">
      <w:pPr>
        <w:pStyle w:val="Textpoznpodarou"/>
        <w:rPr>
          <w:i/>
        </w:rPr>
      </w:pPr>
      <w:r>
        <w:rPr>
          <w:rStyle w:val="Znakapoznpodarou"/>
        </w:rPr>
        <w:footnoteRef/>
      </w:r>
      <w:r>
        <w:t xml:space="preserve"> Blíže k vysvětlení jednotlivých pojmů a jejich atributům Metodika pro evidenci služeb VS dostupná na: </w:t>
      </w:r>
      <w:hyperlink r:id="rId2">
        <w:r w:rsidRPr="00DB537A">
          <w:rPr>
            <w:rStyle w:val="Hypertextovodkaz"/>
            <w:i w:val="0"/>
          </w:rPr>
          <w:t>https://pma3.gov.cz/katalog-sluzeb/metodika-pro-evidenci-sluzeb-vs</w:t>
        </w:r>
      </w:hyperlink>
      <w:r w:rsidRPr="00DB537A">
        <w:rPr>
          <w:i/>
        </w:rPr>
        <w:t>.</w:t>
      </w:r>
    </w:p>
  </w:footnote>
  <w:footnote w:id="3">
    <w:p w:rsidR="00DB537A" w:rsidRDefault="00DB537A">
      <w:pPr>
        <w:pStyle w:val="Textpoznpodarou"/>
      </w:pPr>
      <w:r>
        <w:rPr>
          <w:rStyle w:val="Znakapoznpodarou"/>
        </w:rPr>
        <w:footnoteRef/>
      </w:r>
      <w:r>
        <w:t xml:space="preserve"> Jednotliví ohlašovatelé byli o vytvoření plánu informování.</w:t>
      </w:r>
    </w:p>
  </w:footnote>
  <w:footnote w:id="4">
    <w:p w:rsidR="00DB537A" w:rsidRDefault="00DB537A">
      <w:pPr>
        <w:pStyle w:val="Textpoznpodarou"/>
      </w:pPr>
      <w:r>
        <w:rPr>
          <w:rStyle w:val="Znakapoznpodarou"/>
        </w:rPr>
        <w:footnoteRef/>
      </w:r>
      <w:r>
        <w:t xml:space="preserve"> Jednotlivým ohlašovatelům byly zaslány pokyny s údaji k opravě.</w:t>
      </w:r>
    </w:p>
  </w:footnote>
  <w:footnote w:id="5">
    <w:p w:rsidR="00DB537A" w:rsidRDefault="00DB537A">
      <w:pPr>
        <w:pStyle w:val="Textpoznpodarou"/>
      </w:pPr>
      <w:r>
        <w:rPr>
          <w:rStyle w:val="Znakapoznpodarou"/>
        </w:rPr>
        <w:footnoteRef/>
      </w:r>
      <w:r>
        <w:t xml:space="preserve"> Gestoři těchto úkonů byli upozorněni.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7E6D8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DA5472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7561D"/>
    <w:rsid w:val="001470D4"/>
    <w:rsid w:val="001F469F"/>
    <w:rsid w:val="00296887"/>
    <w:rsid w:val="00427868"/>
    <w:rsid w:val="004E29B3"/>
    <w:rsid w:val="00590D07"/>
    <w:rsid w:val="00702DAE"/>
    <w:rsid w:val="00784D58"/>
    <w:rsid w:val="007B2A17"/>
    <w:rsid w:val="008D6863"/>
    <w:rsid w:val="00B86B75"/>
    <w:rsid w:val="00BC48D5"/>
    <w:rsid w:val="00C36279"/>
    <w:rsid w:val="00DB537A"/>
    <w:rsid w:val="00DD70D5"/>
    <w:rsid w:val="00E315A3"/>
    <w:rsid w:val="00E85B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7766"/>
  <w15:docId w15:val="{5A5F9395-42D6-462B-80E9-31A5E05A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25DC"/>
    <w:pPr>
      <w:jc w:val="both"/>
    </w:pPr>
  </w:style>
  <w:style w:type="paragraph" w:styleId="Nadpis1">
    <w:name w:val="heading 1"/>
    <w:basedOn w:val="Normln"/>
    <w:next w:val="Zkladntext"/>
    <w:autoRedefine/>
    <w:uiPriority w:val="9"/>
    <w:qFormat/>
    <w:rsid w:val="001F25DC"/>
    <w:pPr>
      <w:keepNext/>
      <w:keepLines/>
      <w:spacing w:before="480" w:after="0"/>
      <w:outlineLvl w:val="0"/>
    </w:pPr>
    <w:rPr>
      <w:rFonts w:asciiTheme="majorHAnsi" w:eastAsiaTheme="majorEastAsia" w:hAnsiTheme="majorHAnsi" w:cstheme="majorBidi"/>
      <w:b/>
      <w:bCs/>
      <w:color w:val="345A8A" w:themeColor="accent1" w:themeShade="B5"/>
      <w:sz w:val="32"/>
      <w:szCs w:val="32"/>
      <w:lang w:val="cs-CZ"/>
    </w:rPr>
  </w:style>
  <w:style w:type="paragraph" w:styleId="Nadpis2">
    <w:name w:val="heading 2"/>
    <w:basedOn w:val="Normln"/>
    <w:next w:val="Zkladntext"/>
    <w:autoRedefine/>
    <w:uiPriority w:val="9"/>
    <w:unhideWhenUsed/>
    <w:qFormat/>
    <w:rsid w:val="001F25DC"/>
    <w:pPr>
      <w:keepNext/>
      <w:keepLines/>
      <w:spacing w:before="200" w:after="0"/>
      <w:outlineLvl w:val="1"/>
    </w:pPr>
    <w:rPr>
      <w:rFonts w:asciiTheme="majorHAnsi" w:eastAsiaTheme="majorEastAsia" w:hAnsiTheme="majorHAnsi" w:cstheme="majorBidi"/>
      <w:b/>
      <w:bCs/>
      <w:color w:val="4F81BD" w:themeColor="accent1"/>
      <w:sz w:val="32"/>
      <w:szCs w:val="32"/>
      <w:lang w:val="cs-CZ"/>
    </w:rPr>
  </w:style>
  <w:style w:type="paragraph" w:styleId="Nadpis3">
    <w:name w:val="heading 3"/>
    <w:basedOn w:val="Normln"/>
    <w:next w:val="Zkladn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dpis4">
    <w:name w:val="heading 4"/>
    <w:basedOn w:val="Normln"/>
    <w:next w:val="Zkladn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dpis5">
    <w:name w:val="heading 5"/>
    <w:basedOn w:val="Normln"/>
    <w:next w:val="Zkladn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dpis6">
    <w:name w:val="heading 6"/>
    <w:basedOn w:val="Normln"/>
    <w:next w:val="Zkladn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dpis7">
    <w:name w:val="heading 7"/>
    <w:basedOn w:val="Normln"/>
    <w:next w:val="Zkladn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dpis8">
    <w:name w:val="heading 8"/>
    <w:basedOn w:val="Normln"/>
    <w:next w:val="Zkladn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dpis9">
    <w:name w:val="heading 9"/>
    <w:basedOn w:val="Normln"/>
    <w:next w:val="Zkladn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autoRedefine/>
    <w:qFormat/>
    <w:rsid w:val="001F25DC"/>
    <w:pPr>
      <w:spacing w:before="180" w:after="180"/>
    </w:pPr>
    <w:rPr>
      <w:lang w:val="cs-CZ"/>
    </w:rPr>
  </w:style>
  <w:style w:type="paragraph" w:customStyle="1" w:styleId="FirstParagraph">
    <w:name w:val="First Paragraph"/>
    <w:basedOn w:val="Zkladntext"/>
    <w:next w:val="Zkladntext"/>
    <w:autoRedefine/>
    <w:qFormat/>
    <w:rsid w:val="001F25DC"/>
  </w:style>
  <w:style w:type="paragraph" w:customStyle="1" w:styleId="Compact">
    <w:name w:val="Compact"/>
    <w:basedOn w:val="Zkladntext"/>
    <w:qFormat/>
    <w:rsid w:val="001F25DC"/>
    <w:pPr>
      <w:spacing w:before="36" w:after="36"/>
    </w:pPr>
  </w:style>
  <w:style w:type="paragraph" w:styleId="Nzev">
    <w:name w:val="Title"/>
    <w:basedOn w:val="Normln"/>
    <w:next w:val="Zkladntext"/>
    <w:autoRedefine/>
    <w:qFormat/>
    <w:rsid w:val="00866759"/>
    <w:pPr>
      <w:keepNext/>
      <w:keepLines/>
      <w:spacing w:before="480" w:after="240"/>
      <w:jc w:val="center"/>
    </w:pPr>
    <w:rPr>
      <w:rFonts w:asciiTheme="majorHAnsi" w:eastAsiaTheme="majorEastAsia" w:hAnsiTheme="majorHAnsi" w:cstheme="majorBidi"/>
      <w:b/>
      <w:bCs/>
      <w:color w:val="7030A0"/>
      <w:sz w:val="36"/>
      <w:szCs w:val="36"/>
      <w:lang w:val="cs-CZ"/>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 w:val="20"/>
      <w:szCs w:val="20"/>
    </w:rPr>
  </w:style>
  <w:style w:type="paragraph" w:styleId="Bibliografie">
    <w:name w:val="Bibliography"/>
    <w:basedOn w:val="Normln"/>
    <w:qFormat/>
  </w:style>
  <w:style w:type="paragraph" w:styleId="Textvbloku">
    <w:name w:val="Block Text"/>
    <w:basedOn w:val="Zkladntext"/>
    <w:next w:val="Zkladntext"/>
    <w:autoRedefine/>
    <w:uiPriority w:val="9"/>
    <w:unhideWhenUsed/>
    <w:qFormat/>
    <w:rsid w:val="001F25DC"/>
    <w:pPr>
      <w:spacing w:before="100" w:after="100"/>
      <w:jc w:val="left"/>
    </w:pPr>
    <w:rPr>
      <w:rFonts w:asciiTheme="majorHAnsi" w:eastAsiaTheme="majorEastAsia" w:hAnsiTheme="majorHAnsi" w:cstheme="majorBidi"/>
      <w:bCs/>
      <w:sz w:val="20"/>
      <w:szCs w:val="20"/>
    </w:rPr>
  </w:style>
  <w:style w:type="paragraph" w:styleId="Textpoznpodarou">
    <w:name w:val="footnote text"/>
    <w:basedOn w:val="Normln"/>
    <w:autoRedefine/>
    <w:uiPriority w:val="9"/>
    <w:unhideWhenUsed/>
    <w:qFormat/>
    <w:rsid w:val="00DD70D5"/>
    <w:pPr>
      <w:spacing w:after="0"/>
    </w:pPr>
    <w:rPr>
      <w:sz w:val="20"/>
      <w:lang w:val="cs-CZ"/>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qFormat/>
    <w:rsid w:val="00DB537A"/>
    <w:pPr>
      <w:spacing w:after="120"/>
    </w:pPr>
    <w:rPr>
      <w:i/>
      <w:sz w:val="20"/>
      <w:lang w:val="cs-CZ"/>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rsid w:val="00DB537A"/>
    <w:rPr>
      <w:i/>
      <w:sz w:val="20"/>
      <w:lang w:val="cs-CZ"/>
    </w:rPr>
  </w:style>
  <w:style w:type="character" w:customStyle="1" w:styleId="VerbatimChar">
    <w:name w:val="Verbatim Char"/>
    <w:basedOn w:val="TitulekChar"/>
    <w:link w:val="SourceCode"/>
    <w:rPr>
      <w:rFonts w:ascii="Consolas" w:hAnsi="Consolas"/>
      <w:i/>
      <w:sz w:val="22"/>
      <w:lang w:val="cs-CZ"/>
    </w:rPr>
  </w:style>
  <w:style w:type="character" w:styleId="Znakapoznpodarou">
    <w:name w:val="footnote reference"/>
    <w:basedOn w:val="TitulekChar"/>
    <w:rPr>
      <w:i/>
      <w:sz w:val="20"/>
      <w:vertAlign w:val="superscript"/>
      <w:lang w:val="cs-CZ"/>
    </w:rPr>
  </w:style>
  <w:style w:type="character" w:styleId="Hypertextovodkaz">
    <w:name w:val="Hyperlink"/>
    <w:basedOn w:val="TitulekChar"/>
    <w:uiPriority w:val="99"/>
    <w:rPr>
      <w:i/>
      <w:color w:val="4F81BD" w:themeColor="accent1"/>
      <w:sz w:val="20"/>
      <w:lang w:val="cs-CZ"/>
    </w:rPr>
  </w:style>
  <w:style w:type="paragraph" w:styleId="Nadpisobsahu">
    <w:name w:val="TOC Heading"/>
    <w:basedOn w:val="Nadpis1"/>
    <w:next w:val="Zkladn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ln"/>
    <w:link w:val="VerbatimChar"/>
    <w:pPr>
      <w:shd w:val="clear" w:color="auto" w:fill="F8F8F8"/>
      <w:wordWrap w:val="0"/>
    </w:pPr>
  </w:style>
  <w:style w:type="character" w:customStyle="1" w:styleId="KeywordTok">
    <w:name w:val="KeywordTok"/>
    <w:basedOn w:val="VerbatimChar"/>
    <w:rPr>
      <w:rFonts w:ascii="Consolas" w:hAnsi="Consolas"/>
      <w:b/>
      <w:i/>
      <w:color w:val="204A87"/>
      <w:sz w:val="22"/>
      <w:shd w:val="clear" w:color="auto" w:fill="F8F8F8"/>
      <w:lang w:val="cs-CZ"/>
    </w:rPr>
  </w:style>
  <w:style w:type="character" w:customStyle="1" w:styleId="DataTypeTok">
    <w:name w:val="DataTypeTok"/>
    <w:basedOn w:val="VerbatimChar"/>
    <w:rPr>
      <w:rFonts w:ascii="Consolas" w:hAnsi="Consolas"/>
      <w:i/>
      <w:color w:val="204A87"/>
      <w:sz w:val="22"/>
      <w:shd w:val="clear" w:color="auto" w:fill="F8F8F8"/>
      <w:lang w:val="cs-CZ"/>
    </w:rPr>
  </w:style>
  <w:style w:type="character" w:customStyle="1" w:styleId="DecValTok">
    <w:name w:val="DecValTok"/>
    <w:basedOn w:val="VerbatimChar"/>
    <w:rPr>
      <w:rFonts w:ascii="Consolas" w:hAnsi="Consolas"/>
      <w:i/>
      <w:color w:val="0000CF"/>
      <w:sz w:val="22"/>
      <w:shd w:val="clear" w:color="auto" w:fill="F8F8F8"/>
      <w:lang w:val="cs-CZ"/>
    </w:rPr>
  </w:style>
  <w:style w:type="character" w:customStyle="1" w:styleId="BaseNTok">
    <w:name w:val="BaseNTok"/>
    <w:basedOn w:val="VerbatimChar"/>
    <w:rPr>
      <w:rFonts w:ascii="Consolas" w:hAnsi="Consolas"/>
      <w:i/>
      <w:color w:val="0000CF"/>
      <w:sz w:val="22"/>
      <w:shd w:val="clear" w:color="auto" w:fill="F8F8F8"/>
      <w:lang w:val="cs-CZ"/>
    </w:rPr>
  </w:style>
  <w:style w:type="character" w:customStyle="1" w:styleId="FloatTok">
    <w:name w:val="FloatTok"/>
    <w:basedOn w:val="VerbatimChar"/>
    <w:rPr>
      <w:rFonts w:ascii="Consolas" w:hAnsi="Consolas"/>
      <w:i/>
      <w:color w:val="0000CF"/>
      <w:sz w:val="22"/>
      <w:shd w:val="clear" w:color="auto" w:fill="F8F8F8"/>
      <w:lang w:val="cs-CZ"/>
    </w:rPr>
  </w:style>
  <w:style w:type="character" w:customStyle="1" w:styleId="ConstantTok">
    <w:name w:val="ConstantTok"/>
    <w:basedOn w:val="VerbatimChar"/>
    <w:rPr>
      <w:rFonts w:ascii="Consolas" w:hAnsi="Consolas"/>
      <w:i/>
      <w:color w:val="000000"/>
      <w:sz w:val="22"/>
      <w:shd w:val="clear" w:color="auto" w:fill="F8F8F8"/>
      <w:lang w:val="cs-CZ"/>
    </w:rPr>
  </w:style>
  <w:style w:type="character" w:customStyle="1" w:styleId="CharTok">
    <w:name w:val="CharTok"/>
    <w:basedOn w:val="VerbatimChar"/>
    <w:rPr>
      <w:rFonts w:ascii="Consolas" w:hAnsi="Consolas"/>
      <w:i/>
      <w:color w:val="4E9A06"/>
      <w:sz w:val="22"/>
      <w:shd w:val="clear" w:color="auto" w:fill="F8F8F8"/>
      <w:lang w:val="cs-CZ"/>
    </w:rPr>
  </w:style>
  <w:style w:type="character" w:customStyle="1" w:styleId="SpecialCharTok">
    <w:name w:val="SpecialCharTok"/>
    <w:basedOn w:val="VerbatimChar"/>
    <w:rPr>
      <w:rFonts w:ascii="Consolas" w:hAnsi="Consolas"/>
      <w:i/>
      <w:color w:val="000000"/>
      <w:sz w:val="22"/>
      <w:shd w:val="clear" w:color="auto" w:fill="F8F8F8"/>
      <w:lang w:val="cs-CZ"/>
    </w:rPr>
  </w:style>
  <w:style w:type="character" w:customStyle="1" w:styleId="StringTok">
    <w:name w:val="StringTok"/>
    <w:basedOn w:val="VerbatimChar"/>
    <w:rPr>
      <w:rFonts w:ascii="Consolas" w:hAnsi="Consolas"/>
      <w:i/>
      <w:color w:val="4E9A06"/>
      <w:sz w:val="22"/>
      <w:shd w:val="clear" w:color="auto" w:fill="F8F8F8"/>
      <w:lang w:val="cs-CZ"/>
    </w:rPr>
  </w:style>
  <w:style w:type="character" w:customStyle="1" w:styleId="VerbatimStringTok">
    <w:name w:val="VerbatimStringTok"/>
    <w:basedOn w:val="VerbatimChar"/>
    <w:rPr>
      <w:rFonts w:ascii="Consolas" w:hAnsi="Consolas"/>
      <w:i/>
      <w:color w:val="4E9A06"/>
      <w:sz w:val="22"/>
      <w:shd w:val="clear" w:color="auto" w:fill="F8F8F8"/>
      <w:lang w:val="cs-CZ"/>
    </w:rPr>
  </w:style>
  <w:style w:type="character" w:customStyle="1" w:styleId="SpecialStringTok">
    <w:name w:val="SpecialStringTok"/>
    <w:basedOn w:val="VerbatimChar"/>
    <w:rPr>
      <w:rFonts w:ascii="Consolas" w:hAnsi="Consolas"/>
      <w:i/>
      <w:color w:val="4E9A06"/>
      <w:sz w:val="22"/>
      <w:shd w:val="clear" w:color="auto" w:fill="F8F8F8"/>
      <w:lang w:val="cs-CZ"/>
    </w:rPr>
  </w:style>
  <w:style w:type="character" w:customStyle="1" w:styleId="ImportTok">
    <w:name w:val="ImportTok"/>
    <w:basedOn w:val="VerbatimChar"/>
    <w:rPr>
      <w:rFonts w:ascii="Consolas" w:hAnsi="Consolas"/>
      <w:i/>
      <w:sz w:val="22"/>
      <w:shd w:val="clear" w:color="auto" w:fill="F8F8F8"/>
      <w:lang w:val="cs-CZ"/>
    </w:rPr>
  </w:style>
  <w:style w:type="character" w:customStyle="1" w:styleId="CommentTok">
    <w:name w:val="CommentTok"/>
    <w:basedOn w:val="VerbatimChar"/>
    <w:rPr>
      <w:rFonts w:ascii="Consolas" w:hAnsi="Consolas"/>
      <w:i w:val="0"/>
      <w:color w:val="8F5902"/>
      <w:sz w:val="22"/>
      <w:shd w:val="clear" w:color="auto" w:fill="F8F8F8"/>
      <w:lang w:val="cs-CZ"/>
    </w:rPr>
  </w:style>
  <w:style w:type="character" w:customStyle="1" w:styleId="DocumentationTok">
    <w:name w:val="DocumentationTok"/>
    <w:basedOn w:val="VerbatimChar"/>
    <w:rPr>
      <w:rFonts w:ascii="Consolas" w:hAnsi="Consolas"/>
      <w:b/>
      <w:i w:val="0"/>
      <w:color w:val="8F5902"/>
      <w:sz w:val="22"/>
      <w:shd w:val="clear" w:color="auto" w:fill="F8F8F8"/>
      <w:lang w:val="cs-CZ"/>
    </w:rPr>
  </w:style>
  <w:style w:type="character" w:customStyle="1" w:styleId="AnnotationTok">
    <w:name w:val="AnnotationTok"/>
    <w:basedOn w:val="VerbatimChar"/>
    <w:rPr>
      <w:rFonts w:ascii="Consolas" w:hAnsi="Consolas"/>
      <w:b/>
      <w:i w:val="0"/>
      <w:color w:val="8F5902"/>
      <w:sz w:val="22"/>
      <w:shd w:val="clear" w:color="auto" w:fill="F8F8F8"/>
      <w:lang w:val="cs-CZ"/>
    </w:rPr>
  </w:style>
  <w:style w:type="character" w:customStyle="1" w:styleId="CommentVarTok">
    <w:name w:val="CommentVarTok"/>
    <w:basedOn w:val="VerbatimChar"/>
    <w:rPr>
      <w:rFonts w:ascii="Consolas" w:hAnsi="Consolas"/>
      <w:b/>
      <w:i w:val="0"/>
      <w:color w:val="8F5902"/>
      <w:sz w:val="22"/>
      <w:shd w:val="clear" w:color="auto" w:fill="F8F8F8"/>
      <w:lang w:val="cs-CZ"/>
    </w:rPr>
  </w:style>
  <w:style w:type="character" w:customStyle="1" w:styleId="OtherTok">
    <w:name w:val="OtherTok"/>
    <w:basedOn w:val="VerbatimChar"/>
    <w:rPr>
      <w:rFonts w:ascii="Consolas" w:hAnsi="Consolas"/>
      <w:i/>
      <w:color w:val="8F5902"/>
      <w:sz w:val="22"/>
      <w:shd w:val="clear" w:color="auto" w:fill="F8F8F8"/>
      <w:lang w:val="cs-CZ"/>
    </w:rPr>
  </w:style>
  <w:style w:type="character" w:customStyle="1" w:styleId="FunctionTok">
    <w:name w:val="FunctionTok"/>
    <w:basedOn w:val="VerbatimChar"/>
    <w:rPr>
      <w:rFonts w:ascii="Consolas" w:hAnsi="Consolas"/>
      <w:i/>
      <w:color w:val="000000"/>
      <w:sz w:val="22"/>
      <w:shd w:val="clear" w:color="auto" w:fill="F8F8F8"/>
      <w:lang w:val="cs-CZ"/>
    </w:rPr>
  </w:style>
  <w:style w:type="character" w:customStyle="1" w:styleId="VariableTok">
    <w:name w:val="VariableTok"/>
    <w:basedOn w:val="VerbatimChar"/>
    <w:rPr>
      <w:rFonts w:ascii="Consolas" w:hAnsi="Consolas"/>
      <w:i/>
      <w:color w:val="000000"/>
      <w:sz w:val="22"/>
      <w:shd w:val="clear" w:color="auto" w:fill="F8F8F8"/>
      <w:lang w:val="cs-CZ"/>
    </w:rPr>
  </w:style>
  <w:style w:type="character" w:customStyle="1" w:styleId="ControlFlowTok">
    <w:name w:val="ControlFlowTok"/>
    <w:basedOn w:val="VerbatimChar"/>
    <w:rPr>
      <w:rFonts w:ascii="Consolas" w:hAnsi="Consolas"/>
      <w:b/>
      <w:i/>
      <w:color w:val="204A87"/>
      <w:sz w:val="22"/>
      <w:shd w:val="clear" w:color="auto" w:fill="F8F8F8"/>
      <w:lang w:val="cs-CZ"/>
    </w:rPr>
  </w:style>
  <w:style w:type="character" w:customStyle="1" w:styleId="OperatorTok">
    <w:name w:val="OperatorTok"/>
    <w:basedOn w:val="VerbatimChar"/>
    <w:rPr>
      <w:rFonts w:ascii="Consolas" w:hAnsi="Consolas"/>
      <w:b/>
      <w:i/>
      <w:color w:val="CE5C00"/>
      <w:sz w:val="22"/>
      <w:shd w:val="clear" w:color="auto" w:fill="F8F8F8"/>
      <w:lang w:val="cs-CZ"/>
    </w:rPr>
  </w:style>
  <w:style w:type="character" w:customStyle="1" w:styleId="BuiltInTok">
    <w:name w:val="BuiltInTok"/>
    <w:basedOn w:val="VerbatimChar"/>
    <w:rPr>
      <w:rFonts w:ascii="Consolas" w:hAnsi="Consolas"/>
      <w:i/>
      <w:sz w:val="22"/>
      <w:shd w:val="clear" w:color="auto" w:fill="F8F8F8"/>
      <w:lang w:val="cs-CZ"/>
    </w:rPr>
  </w:style>
  <w:style w:type="character" w:customStyle="1" w:styleId="ExtensionTok">
    <w:name w:val="ExtensionTok"/>
    <w:basedOn w:val="VerbatimChar"/>
    <w:rPr>
      <w:rFonts w:ascii="Consolas" w:hAnsi="Consolas"/>
      <w:i/>
      <w:sz w:val="22"/>
      <w:shd w:val="clear" w:color="auto" w:fill="F8F8F8"/>
      <w:lang w:val="cs-CZ"/>
    </w:rPr>
  </w:style>
  <w:style w:type="character" w:customStyle="1" w:styleId="PreprocessorTok">
    <w:name w:val="PreprocessorTok"/>
    <w:basedOn w:val="VerbatimChar"/>
    <w:rPr>
      <w:rFonts w:ascii="Consolas" w:hAnsi="Consolas"/>
      <w:i w:val="0"/>
      <w:color w:val="8F5902"/>
      <w:sz w:val="22"/>
      <w:shd w:val="clear" w:color="auto" w:fill="F8F8F8"/>
      <w:lang w:val="cs-CZ"/>
    </w:rPr>
  </w:style>
  <w:style w:type="character" w:customStyle="1" w:styleId="AttributeTok">
    <w:name w:val="AttributeTok"/>
    <w:basedOn w:val="VerbatimChar"/>
    <w:rPr>
      <w:rFonts w:ascii="Consolas" w:hAnsi="Consolas"/>
      <w:i/>
      <w:color w:val="C4A000"/>
      <w:sz w:val="22"/>
      <w:shd w:val="clear" w:color="auto" w:fill="F8F8F8"/>
      <w:lang w:val="cs-CZ"/>
    </w:rPr>
  </w:style>
  <w:style w:type="character" w:customStyle="1" w:styleId="RegionMarkerTok">
    <w:name w:val="RegionMarkerTok"/>
    <w:basedOn w:val="VerbatimChar"/>
    <w:rPr>
      <w:rFonts w:ascii="Consolas" w:hAnsi="Consolas"/>
      <w:i/>
      <w:sz w:val="22"/>
      <w:shd w:val="clear" w:color="auto" w:fill="F8F8F8"/>
      <w:lang w:val="cs-CZ"/>
    </w:rPr>
  </w:style>
  <w:style w:type="character" w:customStyle="1" w:styleId="InformationTok">
    <w:name w:val="InformationTok"/>
    <w:basedOn w:val="VerbatimChar"/>
    <w:rPr>
      <w:rFonts w:ascii="Consolas" w:hAnsi="Consolas"/>
      <w:b/>
      <w:i w:val="0"/>
      <w:color w:val="8F5902"/>
      <w:sz w:val="22"/>
      <w:shd w:val="clear" w:color="auto" w:fill="F8F8F8"/>
      <w:lang w:val="cs-CZ"/>
    </w:rPr>
  </w:style>
  <w:style w:type="character" w:customStyle="1" w:styleId="WarningTok">
    <w:name w:val="WarningTok"/>
    <w:basedOn w:val="VerbatimChar"/>
    <w:rPr>
      <w:rFonts w:ascii="Consolas" w:hAnsi="Consolas"/>
      <w:b/>
      <w:i w:val="0"/>
      <w:color w:val="8F5902"/>
      <w:sz w:val="22"/>
      <w:shd w:val="clear" w:color="auto" w:fill="F8F8F8"/>
      <w:lang w:val="cs-CZ"/>
    </w:rPr>
  </w:style>
  <w:style w:type="character" w:customStyle="1" w:styleId="AlertTok">
    <w:name w:val="AlertTok"/>
    <w:basedOn w:val="VerbatimChar"/>
    <w:rPr>
      <w:rFonts w:ascii="Consolas" w:hAnsi="Consolas"/>
      <w:i/>
      <w:color w:val="EF2929"/>
      <w:sz w:val="22"/>
      <w:shd w:val="clear" w:color="auto" w:fill="F8F8F8"/>
      <w:lang w:val="cs-CZ"/>
    </w:rPr>
  </w:style>
  <w:style w:type="character" w:customStyle="1" w:styleId="ErrorTok">
    <w:name w:val="ErrorTok"/>
    <w:basedOn w:val="VerbatimChar"/>
    <w:rPr>
      <w:rFonts w:ascii="Consolas" w:hAnsi="Consolas"/>
      <w:b/>
      <w:i/>
      <w:color w:val="A40000"/>
      <w:sz w:val="22"/>
      <w:shd w:val="clear" w:color="auto" w:fill="F8F8F8"/>
      <w:lang w:val="cs-CZ"/>
    </w:rPr>
  </w:style>
  <w:style w:type="character" w:customStyle="1" w:styleId="NormalTok">
    <w:name w:val="NormalTok"/>
    <w:basedOn w:val="VerbatimChar"/>
    <w:rPr>
      <w:rFonts w:ascii="Consolas" w:hAnsi="Consolas"/>
      <w:i/>
      <w:sz w:val="22"/>
      <w:shd w:val="clear" w:color="auto" w:fill="F8F8F8"/>
      <w:lang w:val="cs-CZ"/>
    </w:rPr>
  </w:style>
  <w:style w:type="paragraph" w:styleId="Textbubliny">
    <w:name w:val="Balloon Text"/>
    <w:basedOn w:val="Normln"/>
    <w:link w:val="TextbublinyChar"/>
    <w:semiHidden/>
    <w:unhideWhenUsed/>
    <w:rsid w:val="00C46466"/>
    <w:pPr>
      <w:spacing w:after="0"/>
    </w:pPr>
    <w:rPr>
      <w:rFonts w:ascii="Segoe UI" w:hAnsi="Segoe UI" w:cs="Segoe UI"/>
      <w:sz w:val="18"/>
      <w:szCs w:val="18"/>
    </w:rPr>
  </w:style>
  <w:style w:type="character" w:customStyle="1" w:styleId="TextbublinyChar">
    <w:name w:val="Text bubliny Char"/>
    <w:basedOn w:val="Standardnpsmoodstavce"/>
    <w:link w:val="Textbubliny"/>
    <w:semiHidden/>
    <w:rsid w:val="00C46466"/>
    <w:rPr>
      <w:rFonts w:ascii="Segoe UI" w:hAnsi="Segoe UI" w:cs="Segoe UI"/>
      <w:sz w:val="18"/>
      <w:szCs w:val="18"/>
    </w:rPr>
  </w:style>
  <w:style w:type="paragraph" w:styleId="Obsah1">
    <w:name w:val="toc 1"/>
    <w:basedOn w:val="Normln"/>
    <w:next w:val="Normln"/>
    <w:autoRedefine/>
    <w:uiPriority w:val="39"/>
    <w:unhideWhenUsed/>
    <w:rsid w:val="00296887"/>
    <w:pPr>
      <w:spacing w:after="100"/>
    </w:pPr>
  </w:style>
  <w:style w:type="paragraph" w:styleId="Obsah2">
    <w:name w:val="toc 2"/>
    <w:basedOn w:val="Normln"/>
    <w:next w:val="Normln"/>
    <w:autoRedefine/>
    <w:uiPriority w:val="39"/>
    <w:unhideWhenUsed/>
    <w:rsid w:val="00296887"/>
    <w:pPr>
      <w:spacing w:after="100"/>
      <w:ind w:left="240"/>
    </w:pPr>
  </w:style>
  <w:style w:type="paragraph" w:styleId="Zhlav">
    <w:name w:val="header"/>
    <w:basedOn w:val="Normln"/>
    <w:link w:val="ZhlavChar"/>
    <w:unhideWhenUsed/>
    <w:rsid w:val="00296887"/>
    <w:pPr>
      <w:tabs>
        <w:tab w:val="center" w:pos="4536"/>
        <w:tab w:val="right" w:pos="9072"/>
      </w:tabs>
      <w:spacing w:after="0"/>
    </w:pPr>
  </w:style>
  <w:style w:type="character" w:customStyle="1" w:styleId="ZhlavChar">
    <w:name w:val="Záhlaví Char"/>
    <w:basedOn w:val="Standardnpsmoodstavce"/>
    <w:link w:val="Zhlav"/>
    <w:rsid w:val="00296887"/>
  </w:style>
  <w:style w:type="paragraph" w:styleId="Zpat">
    <w:name w:val="footer"/>
    <w:basedOn w:val="Normln"/>
    <w:link w:val="ZpatChar"/>
    <w:uiPriority w:val="99"/>
    <w:unhideWhenUsed/>
    <w:rsid w:val="00296887"/>
    <w:pPr>
      <w:tabs>
        <w:tab w:val="center" w:pos="4536"/>
        <w:tab w:val="right" w:pos="9072"/>
      </w:tabs>
      <w:spacing w:after="0"/>
    </w:pPr>
  </w:style>
  <w:style w:type="character" w:customStyle="1" w:styleId="ZpatChar">
    <w:name w:val="Zápatí Char"/>
    <w:basedOn w:val="Standardnpsmoodstavce"/>
    <w:link w:val="Zpat"/>
    <w:uiPriority w:val="99"/>
    <w:rsid w:val="00296887"/>
  </w:style>
  <w:style w:type="table" w:styleId="Mkatabulky">
    <w:name w:val="Table Grid"/>
    <w:basedOn w:val="Normlntabulka"/>
    <w:rsid w:val="000756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rsid w:val="00DB5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18029">
      <w:bodyDiv w:val="1"/>
      <w:marLeft w:val="0"/>
      <w:marRight w:val="0"/>
      <w:marTop w:val="0"/>
      <w:marBottom w:val="0"/>
      <w:divBdr>
        <w:top w:val="none" w:sz="0" w:space="0" w:color="auto"/>
        <w:left w:val="none" w:sz="0" w:space="0" w:color="auto"/>
        <w:bottom w:val="none" w:sz="0" w:space="0" w:color="auto"/>
        <w:right w:val="none" w:sz="0" w:space="0" w:color="auto"/>
      </w:divBdr>
      <w:divsChild>
        <w:div w:id="520510966">
          <w:marLeft w:val="0"/>
          <w:marRight w:val="0"/>
          <w:marTop w:val="0"/>
          <w:marBottom w:val="0"/>
          <w:divBdr>
            <w:top w:val="none" w:sz="0" w:space="0" w:color="auto"/>
            <w:left w:val="none" w:sz="0" w:space="0" w:color="auto"/>
            <w:bottom w:val="none" w:sz="0" w:space="0" w:color="auto"/>
            <w:right w:val="none" w:sz="0" w:space="0" w:color="auto"/>
          </w:divBdr>
        </w:div>
      </w:divsChild>
    </w:div>
    <w:div w:id="1790590844">
      <w:bodyDiv w:val="1"/>
      <w:marLeft w:val="0"/>
      <w:marRight w:val="0"/>
      <w:marTop w:val="0"/>
      <w:marBottom w:val="0"/>
      <w:divBdr>
        <w:top w:val="none" w:sz="0" w:space="0" w:color="auto"/>
        <w:left w:val="none" w:sz="0" w:space="0" w:color="auto"/>
        <w:bottom w:val="none" w:sz="0" w:space="0" w:color="auto"/>
        <w:right w:val="none" w:sz="0" w:space="0" w:color="auto"/>
      </w:divBdr>
      <w:divsChild>
        <w:div w:id="2123455409">
          <w:marLeft w:val="0"/>
          <w:marRight w:val="0"/>
          <w:marTop w:val="0"/>
          <w:marBottom w:val="0"/>
          <w:divBdr>
            <w:top w:val="none" w:sz="0" w:space="0" w:color="auto"/>
            <w:left w:val="none" w:sz="0" w:space="0" w:color="auto"/>
            <w:bottom w:val="none" w:sz="0" w:space="0" w:color="auto"/>
            <w:right w:val="none" w:sz="0" w:space="0" w:color="auto"/>
          </w:divBdr>
        </w:div>
      </w:divsChild>
    </w:div>
    <w:div w:id="2028286931">
      <w:bodyDiv w:val="1"/>
      <w:marLeft w:val="0"/>
      <w:marRight w:val="0"/>
      <w:marTop w:val="0"/>
      <w:marBottom w:val="0"/>
      <w:divBdr>
        <w:top w:val="none" w:sz="0" w:space="0" w:color="auto"/>
        <w:left w:val="none" w:sz="0" w:space="0" w:color="auto"/>
        <w:bottom w:val="none" w:sz="0" w:space="0" w:color="auto"/>
        <w:right w:val="none" w:sz="0" w:space="0" w:color="auto"/>
      </w:divBdr>
      <w:divsChild>
        <w:div w:id="1433814523">
          <w:marLeft w:val="0"/>
          <w:marRight w:val="0"/>
          <w:marTop w:val="0"/>
          <w:marBottom w:val="0"/>
          <w:divBdr>
            <w:top w:val="none" w:sz="0" w:space="0" w:color="auto"/>
            <w:left w:val="none" w:sz="0" w:space="0" w:color="auto"/>
            <w:bottom w:val="none" w:sz="0" w:space="0" w:color="auto"/>
            <w:right w:val="none" w:sz="0" w:space="0" w:color="auto"/>
          </w:divBdr>
        </w:div>
      </w:divsChild>
    </w:div>
    <w:div w:id="2059620984">
      <w:bodyDiv w:val="1"/>
      <w:marLeft w:val="0"/>
      <w:marRight w:val="0"/>
      <w:marTop w:val="0"/>
      <w:marBottom w:val="0"/>
      <w:divBdr>
        <w:top w:val="none" w:sz="0" w:space="0" w:color="auto"/>
        <w:left w:val="none" w:sz="0" w:space="0" w:color="auto"/>
        <w:bottom w:val="none" w:sz="0" w:space="0" w:color="auto"/>
        <w:right w:val="none" w:sz="0" w:space="0" w:color="auto"/>
      </w:divBdr>
      <w:divsChild>
        <w:div w:id="17321185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a3.gov.cz/katalog-sluzeb/info"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gov.cz"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owerbi.com/view?r=eyJrIjoiZTc3MDcwMWUtNTdkMC00NTM2LWI5MTktMGJlNTQ5ODg2NWZjIiwidCI6IjFkYjQxZDZmLTFmMzctNDZkYi1iZDNlLWM0ODNhYmI4MTA1ZCIsImMiOjh9&amp;pageName=ReportSection7add5990045b02a664b4" TargetMode="External"/><Relationship Id="rId5" Type="http://schemas.openxmlformats.org/officeDocument/2006/relationships/webSettings" Target="webSettings.xml"/><Relationship Id="rId15" Type="http://schemas.openxmlformats.org/officeDocument/2006/relationships/hyperlink" Target="https://archi.gov.cz/znalostni_baze:digitalni_priruck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pma3.gov.cz/katalog-sluzeb/metodika-pro-evidenci-sluzeb-vs" TargetMode="External"/><Relationship Id="rId1" Type="http://schemas.openxmlformats.org/officeDocument/2006/relationships/hyperlink" Target="https://code.gov.cz/gov-cz/katalog-slu-eb-anal-za/-/tree/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8949-B1DB-4F01-84C5-F0478D2D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4413</Words>
  <Characters>26042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Analýza dat v katalogu služeb veřejné správy</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dat v katalogu služeb veřejné správy</dc:title>
  <dc:creator/>
  <cp:keywords/>
  <cp:lastModifiedBy>O. Žežula</cp:lastModifiedBy>
  <cp:revision>6</cp:revision>
  <dcterms:created xsi:type="dcterms:W3CDTF">2021-09-02T12:53:00Z</dcterms:created>
  <dcterms:modified xsi:type="dcterms:W3CDTF">2021-09-03T05:28:00Z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word_document</vt:lpwstr>
  </property>
</Properties>
</file>